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ax795es0uj9y" w:id="0"/>
      <w:bookmarkEnd w:id="0"/>
      <w:r w:rsidDel="00000000" w:rsidR="00000000" w:rsidRPr="00000000">
        <w:rPr>
          <w:color w:val="222222"/>
          <w:sz w:val="33"/>
          <w:szCs w:val="33"/>
          <w:rtl w:val="0"/>
        </w:rPr>
        <w:t xml:space="preserve">2022 m. sausio–balandžio mėn. sumažėjo Vokietijos kiaulienos eksportas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sausio–balandžio mėn. Vokietija eksportavo 752 tūkst. t kiaulienos (įskaitant šalutinius produktus) – 22,07 proc. mažiau nei 2021 m. tuo pačiu laikotarpiu. Iš to skaičiaus į kitas ES šalis buvo eksportuota 616 tūkst. t kiaulienos, o į trečiąsias šalis – 136 tūkst. t, o tai atitinkamai 18,19 proc. ir 35,85 proc. mažiau nei 2021 m. sausio–balandžio mėn.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Pagrindinė šio staigaus nuosmukio priežastis buvo afrikinio kiaulių maro protrūkis 2020 m. rugsėjo viduryje, kuris sumažino Vokietijos kiaulienos eksportą. Šiuo metu prekyba kiauliena visoje Europoje šiek tiek auga, tačiau paklausa yra gana silpna, o tai neįprasta šiam metų laikui. Be to, mažėjančios skerdimo apimtys turėtų paskatinti kainų didėjimą.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AMI</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