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up9h49kmfux3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2022 m. rugsėjo mėn. Lietuvoje bulvių ir daržovių šviežiam vartojimui supirkta daugiau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Bulvių,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skirtų šviežias vartoti, iš Lietuvos augintojų didmeninės ir mažmeninės prekybos ir kitose įmonėse 2022 m. rugsėjo mėn., palyginti su 2021 m. atitinkamu laikotarpiu, supirkta 26,39 proc. daugiau, t. y. 6 976,341 t. Perdirbti skirtų bulvių supirkta 6,01 proc. mažiau – 671,876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Daržovių,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skirtų vartoti šviežias, 2022 m. rugsėjo  mėn., palyginti su 2021 m. rugsėjo mėn., supirkta 13,31 proc. daugiau, t. y. 5 284,107 t.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50,56 proc. (iki 1 338,799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moliūgų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36,82 proc. (iki 79,158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svogūnų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16,32 proc. (iki 948,266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porų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12,19 proc. (iki 38,858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7,33 proc. (iki 1 217,926 t).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Cukinijų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šiemet dar buvo supirkta 30,329 t, o prieš metus jų derlius jau buvo pasibaigęs.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lapkotinių salierų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sumažėjo 39,82 proc. (iki 21,692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česnakų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19,35 proc. (iki 16,961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pomidorų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8,40 proc. (iki 363,086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agurkų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1,17 proc. (iki 781,215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0,57 proc. (iki 215,418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Nagrinėjamu laikotarpiu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žalumyninių 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sumažėjo: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špinatų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19,28 proc. (iki 6,367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lapinių petražolių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–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10,76 proc. (iki 4,518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salotų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7,13 proc. (iki 129,843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 laiškų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6,30 proc. (iki 21,085 t).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krapų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2,7 karto daugiau (6,331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Pievagrybių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vartoti šviežius, 2022 m. rugsėjo mėn., palyginti su 2021 m. atitinkamu laikotarpiu, supirkta 7,49 proc. mažiau (151,934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Obuolių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šiemet buvo tik 0,29 proc. mažesnis ir sudarė 256,733 t.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Braškių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buvo supirkta 66,002 t.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Perdirbimo įmonėse 2022 m. rugsėjo mėn., palyginti su 2021 m. rugsėjo mėn.,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3,79 proc. (iki 3 227,355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padidėjo 2,5 karto (iki 104,714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2,1 karto (iki 62,123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47,85 proc. (iki 122,895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įvairių kitų 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(agurkų, krapų, salotų, salierų) – 44,68 proc. (iki 110,040 t). Tik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1,77 proc. mažiau (2 827,583 t).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Obuolių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perdirbimui šiemet buvo supirkta 8,75 proc. mažiau (4 558,950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įvairių uogų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(šaltalankių, aronijų, aviečių) – 2,38 karto mažiau (38,346 t).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