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gj4svmj3q6tx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rugpjūčio mėn. Lietuvoje bulvių ir daržovių perdirbimui supirkta mažiau, o uogų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2022 m. rugpjūčio mėn., palyginti su 2021 m. atitinkamu laikotarpiu, supirkta 13,78 proc. daugiau, t. y. 4 136,986 t. Perdirbti skirtų bulvių supirkta 12,65 proc. mažiau – 446,243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2022 m. rugpjūčio  mėn., palyginti su 2021 m. rugpjūčio mėn., supirkta 6,04 proc. daugiau, t. y. 4 451,196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33,36 proc. (iki 36,039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30,03 proc. (iki 1 334,520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24,73 proc. (iki 674,618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derlius šiemet baigsis vėliau, todėl jų dar buvo supirkta 115,190 t (prieš metus tik 4,130 t). Tačiau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česnakų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sumažėjo 47,02 proc. (iki 2,475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porų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33,81 proc. (iki 16,445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22,06 proc. (iki 405,867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17,78 proc. (iki 501,951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12,16 proc. (iki 154,269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–3,92 proc. (iki 982,796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 kartus (iki 6,322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krapų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2,5 karto (iki 14,283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9,91 proc. (iki 155,371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10,82 proc. mažiau (3,560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4,76 proc. mažiau (24,058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2022 m. rugpjūčio mėn., palyginti su 2021 m. atitinkamu laikotarpiu, supirkta 1,49 proc. daugiau (156,833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26,65 proc. mažesnis ir sudarė 78,222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132,327 t,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šilauogių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80,580 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2022 m. rugpjūčio mėn., palyginti su 2021 m. rugpjūčio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5,66 proc. (iki 2 470,906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sumažėjo 44,28 proc. (iki 23,351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27,60 proc. (iki 46,487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3,22 proc. (iki 2 240,509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įvairių kitų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(agurkų, krapų, petražolių) – 23,33 proc. (iki 129,604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6,91 proc. daugiau (30,955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Juodųjų serbentų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perdirbimui šiemet buvo supirkta 53,37 proc. daugiau (500,394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įvairių kitų uogų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(raudonųjų serbentų, aronijų, šaltalankių, aviečių) – 48,47 proc. daugiau (305,701 t).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