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578ww9gzdluj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prognozuojamas ES kiaulių skerdimų mažėjimas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ES prognozių komiteto ekspertų teigimu, tikėtina, kad kiaulių skerdimo apimtys 2022 m. sumažės 3 proc. ir sieks 253 mln. vnt. Prognozuojama, kad kiaulių skerdimo apimtys sumažės Vokietijoje ir Lenkijoje po 5,8 proc., Nyderlanduose – 3,5 proc., Italijoje – 2,2 proc., Austrijoje – 2,5 proc., o padidės Ispanijoje – 2,8 proc., Danijoje – 1,1 proc. ir Portugalijoje – 1,5 proc.  ES mažėjantis kiaulių skaičius turės įtakos bendram kiaulienos gamybos mažėjimui.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