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3eiiwz2zycnn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2022 m. liepos mėn. Lietuvoje bulvių ir daržovių šviežiam vartojimui supirkta daugiau, o – perdirbimui mažiau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Bulvių,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skirtų šviežias vartoti, iš Lietuvos augintojų didmeninės ir mažmeninės prekybos ir kitose įmonėse 2022 m. liepos mėn., palyginti su 2021 m. atitinkamu laikotarpiu, supirkta 25,26 proc. daugiau, t. y. 4 463,527 t. Perdirbti skirtų bulvių supirkta 43,74 proc. mažiau – 240,553 t. Baigiantis sezonui nemažai perdirbimui skirtų bulvių šiemet buvo importuojama. Kol kas ta pati tendencija išlieka ir prasidėjus naujam derliui.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Daržovių,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skirtų vartoti šviežias, 2022 m. liepos  mėn., palyginti su 2021 m. liepos mėn., supirkta 10,80 proc. daugiau, t. y. 3 872,893 t.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Lapkotinių salierų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supirkimas padidėjo 2 kartus (iki 24,851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agurkų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17,23 proc. (iki 1 714,338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burokėlių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13,68 proc. (iki 66,161 t). Tačiau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česnakų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supirkimas sumažėjo 32,26 proc. (iki 3,837 t),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pomidorų –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16,21 proc. (iki 598,823 t),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baltagūžių kopūstų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–12,86 proc. (iki 843,110 t),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cukinijų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6,67 proc. (iki 54,843 t).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Nagrinėjamu laikotarpiu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žalumyninių daržovių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supirkimas padidėjo: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špinatų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2,2 karto (iki 7,215 t),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krapų –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58,38 proc. (iki 14,696 t),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salotų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– 42,41 proc. (iki 170,591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lapinių petražolių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27,97 proc. (iki 4,118 t). Tik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svogūnų laiškų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buvo supirkta  22,27 proc. mažiau (39,624 t).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Pievagrybių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, skirtų vartoti šviežius, 2022 m. liepos mėn., palyginti su 2021 m. atitinkamu laikotarpiu, supirkta 17,06 proc. daugiau (179,964 t).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Braškių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supirkimas šiemet buvo 43,93 proc. didesnis ir sudarė 102,792 t.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Perdirbimo įmonėse 2022 m. liepos mėn., palyginti su 2021 m. liepos mėn.,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daržovių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supirkimas sumažėjo 16,50 proc. (iki 840,559 t). Buvo supirkta baltagūžių kopūstų, morkų, burokėlių, svogūnų, agurkų, salotų, krapų.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Juodųjų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ir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raudonųjų serbentų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šiemet buvo supirkta 5,19 proc. daugiau (429,676 t).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