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11g5gdg7hljf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lapkričio mėn. Lietuvoje daržovių šviežiam vartojimui supirkta šiek tiek mažiau, o perdirbimui –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didmeninės, mažmeninės prekybos ir kitose įmonėse 2022 m. lapkričio mėn., palyginti su 2021 m. atitinkamu laikotarpiu, supirkta 0,09 proc. mažiau, t. y. 4 656,359 t. Perdirbti skirtų bulvių supirkta 8,10 proc. mažiau – 562,828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2022 m. lapkričio  mėn., palyginti su 2021 m. lapkričio mėn., supirkta 1,40 proc. mažiau, t. y. 3 860,992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Česnakų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2,2 karto (iki 3,369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47,07 proc. (iki 118,313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kininių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37,90 proc. (iki 42,550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raudongūžių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30,77 proc. (iki 8,457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pomidorų –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20,35 proc. (iki 206,568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18,38 proc. (iki 147,975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4,65 proc. (iki 20,060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porų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3,81 proc. (iki 37,687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salotų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2,82 proc. (iki 45,644 t). Tačiau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1,94 karto (iki 24,923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salierų gumbų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15,06 proc. (iki 14,115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morkų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10,65 proc. (iki 1 081,089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7,08 proc. (iki 849,281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1,72 proc. (iki 1 241,498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2022 m. lapkričio mėn., palyginti su 2021 m. atitinkamu laikotarpiu, supirkta 4,95 proc. mažiau (179,299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padidėjo 4,26 proc.ir sudarė 421,997 t.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2022 m. lapkričio mėn., palyginti su 2021 m. lapkričio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17,87 proc. (iki 3 345,249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21,30 proc. (iki 3 017,778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10,73 proc. (iki 175,008 t).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24,50 proc. mažiau (90,354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11,05 proc. mažiau (60,789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kitų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3,26 karto mažiau (1,320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