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rPr>
      </w:pPr>
      <w:bookmarkStart w:colFirst="0" w:colLast="0" w:name="_3it5c0frlis3" w:id="0"/>
      <w:bookmarkEnd w:id="0"/>
      <w:r w:rsidDel="00000000" w:rsidR="00000000" w:rsidRPr="00000000">
        <w:rPr>
          <w:color w:val="222222"/>
          <w:sz w:val="33"/>
          <w:szCs w:val="33"/>
          <w:rtl w:val="0"/>
        </w:rPr>
        <w:t xml:space="preserve">2022 m. II ketvirtį, palyginti su 2021 m. II ketvirčiu, Lietuvos įmonėse padidėjo avių skerdimai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balandžio–birželio mėn., palyginti su 2021 m. tuo pačiu laikotarpiu, Lietuvos įmonėse avių skerdimai padidėjo 9,95 proc. ir sudarė 1,911 tūkst. vnt. Iš to skaičiaus 80,95 proc. avių Lietuvos skerdyklose buvo paskerstos grąžintinais pagrindais. Analizuojamu laikotarpiu avių, vyresnių kaip 12 mėn. amžiaus, skerdimai padidėjo 13,75 proc. (iki 1,547 tūkst.  vnt.), o ėriukų (iki 12 mėn. amžiaus) buvo paskersta 3,70 proc. mažiau (iš viso 364 vnt.). Avienos skerdenų gamyba, palyginti su gamyba prieš metus, padidėjo 15,48 proc. ir sudarė 38,006 t. Analizuojamu laikotarpiu vidutinė supirktų avių kaina sudarė 629,03 EUR/100 kg (skerdenų svorio) ir 228,96 EUR/100 kg (gyvojo svorio), tai atitinkamai 34,36 proc. ir 49,87 proc. didesnės kainos nei tuo pačiu laikotarpiu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