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qy93hazgy488" w:id="0"/>
      <w:bookmarkEnd w:id="0"/>
      <w:r w:rsidDel="00000000" w:rsidR="00000000" w:rsidRPr="00000000">
        <w:rPr>
          <w:color w:val="222222"/>
          <w:sz w:val="33"/>
          <w:szCs w:val="33"/>
          <w:rtl w:val="0"/>
        </w:rPr>
        <w:t xml:space="preserve">2022 m. I pusmetį, palyginti su 2021 m. I pusmečiu, Lietuvos įmonėse padidėjo avių skerdimai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sausio–birželio mėn. avių skerdimai padidėjo 6,39 proc. ir sudarė 3,780 tūkst. vnt. Iš to skaičiaus 80,37 proc. avių Lietuvos skerdyklose buvo paskerstos grąžintinais pagrindais. Daugiausia Lietuvoje buvo paskersta avių, vyresnių kaip 12 mėn. amžiaus (77,04 proc. nuo bendro paskerstų avių skaičiaus), jų skerdimai padidėjo 9,56 proc. (iki 2,912 tūkst.  vnt.), o ėriukų (iki 12 mėn. amžiaus) buvo paskersta 3,02 proc. mažiau (iš viso 868 vnt.). Avienos skerdenų gamyba, palyginti su gamyba prieš metus, padidėjo 9,91 proc. ir sudarė 74,988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628,46 EUR/100 kg (skerdenų svorio) ir 221,60 EUR/100 kg (gyvojo svorio), tai atitinkamai 21,60 proc. ir 28,62 proc. didesnės kainos nei tuo pačiu laikotarpiu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I pusmetį, palyginti su 2021 m. I pusmečiu, Lietuvos įmonėse buvo paskersta 11 ožkų ir (ar) ožių. Visi jie Lietuvos skerdyklose buvo paskersti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