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sgtvz5gpnmwl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Vokietijos kiaulienos eksportas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2021 m. Vokietija eksportavo 2,692 mln. t kiaulienos (įskaitant šalutinius produktus) – 7,40 proc. mažiau nei 2020 m. ir 7,30 proc. mažiau nei 2019 m. Iš to skaičiaus 2021 m. į kitas ES šalis buvo eksportuota 2,142 mln. t kiaulienos ir tai 14,24 proc. daugiau nei 2020 m., o į trečiąsias šalis – 550 tūkst. t – 46,70 proc. mažiau. Pagrindinė šio staigaus nuosmukio priežastis buvo afrikinio kiaulių maro protrūkis 2020 m. rugsėjo viduryje, kuris sumažino Vokietijos eksportą į trečiąsias šalis. Nors eksportas į kitas ES šalis išaugo, tačiau šis padidėjimas negalėjo kompensuoti sumažėjusio eksporto į trečiąsias šalis. 2021 m. kiaulienos eksportas iš Vokietijos į Nyderlandus  padidėjo 13 proc. (iki 397 tūkst. t), į Lenkiją – 28 proc. (iki 219 tūkst. t), o į Jungtinę Karalystę sumažėjo 10 proc. (iki 152 tūkst.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