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h2f0fm95m47g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I ketvirtį Lietuvos įmonėse sumažėjo avių skerdimų skaičius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sausio–kovo  mėn. Lietuvos įmonėse buvo paskersta 1,815 tūkst.  avių – 19,80 proc. mažiau, palyginti su 2020 m. I ketvirčiu. Iš to skaičiaus 79,34 proc. avių Lietuvos skerdyklose buvo paskerstos grąžintinais pagrindais. Šiuo laikotarpiu avių (vyresnių kaip 12 mėn.) skerdimai sumažėjo 25,32 proc. (iki 1,298 tūkst. vnt.), ėriukų (iki 12 mėn. amžiaus) – 1,52 proc. (iki 517 vnt.). Kaip įprasta, avių (vyresnių kaip 12 mėn.) skerdimai sudarė 71,52 proc. nuo bendro paskerstų avių skaičiaus. 2021 m. I ketvirtį avienos skerdenų gamyba, palyginti su 2020 m. tuo pačiu laikotarpiu, sumažėjo 13,74 proc. ir sudarė 35,32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vidutinė supirktų avių kaina sudarė 557,33 EUR/100 kg (skerdenų svorio) ir 188,86 EUR/100 kg (gyvojo svorio), tai atitinkamai 28,21 proc. ir 36,79 proc. didesnės kainos nei 2020 m. I ketvirtį.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I ketvirtį Lietuvos skerdyklose buvo paskerstos 29 ožkos. Visos jos buvo paskerstos Lietuvos skerdyklose grąžintinais pagrindais.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