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ypuh7145g948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Europos Sąjungoje prognozuojamas didesnis bulvių derlingumas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ES pasėlių derlingumo prognozių sistemos (toliau MARS) naujausiais duomenimis, ES ir kaimyninėse šalyse bulvių derlingumas 2021 m. gali siekti 34,5 t/ha, t. y. bus 3,6 proc. didesnis nei 2020 m. (33,3 t/ha) ir 4,8 proc. didesnis nei pastarųjų penkerių metų vidurkis (33 t/ha).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Prancūzijoje prognozuojamas 41,5 t/ha bulvių derlingumas, tai 6,9 proc. daugiau nei 2020 m. (38,8 t/ha) ir 2,5 proc. daugiau nei paskutinių penkerių metų vidurkis (40,5 t/ha). Tačiau šie skaičiavimai buvo atlikti dar neįvertinus pavasarinių šalnų pasekmių Prancūzijos žemės ūkiui.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MARS prognozės duomenimis, Vokietijoje bulvių derlingumas turėtų siekti 44,8 t/ha arba būti 6,7 proc. didesnis nei prieš metus (42 t/ha) ir 8 proc. didesnis nei pastarųjų penkerių metų vidurkis (41,5 t/ha).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Ispanijoje vidutinis bulvių derlingumas šiemet prognozuojamas 1,6 proc. mažesnis nei 2020 m. ir gali siekti 32 t/ha ir bus 0,7 proc. mažesnis nei paskutinių penkerių metų vidurkis (31,7 t/ha).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FreshPlaza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