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29 savaitę didmeninėje prekyboje vidutinės degalų kainos mažėjo. Didmeninė dyzelino žemės ūkiui kaina analizuojamu laikotarpiu sumažėjo 3,1 proc., dyzelino – 2,3 proc., benzino A-95 – 2,4 proc., automobilių dujų – 1,4 proc., o krosnių kuro – 5,0 proc. Palyginti su 2017 m. atitinkamu laikotarpiu didmeninė dyzelino kaina padidėjo 17,1 proc., dyzelino žemės ūkiui – 34,8 proc., krosnių kuro – 32,0 proc., benzino A-95 – 10,5 proc., o automobilių dujų – 17,3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2018 m. 29 savaitę vidutinės degalų (išskyrus dyzelino žemės ūkiui) kainos mažėjo. Mažmeninė dyzelino kaina analizuojamu laikotarpiu sumažėjo 0,8 proc., benzino A-95 – 0,75 proc., automobilių dujų – 1,6 proc., o dyzelino žemės ūkiui – padidėjo 2,5 proc. Palyginti su 2017 m. atitinkamu laikotarpiu mažmeninė benzino A-95 kaina padidėjo 18,0 proc., dyzelino žemės ūkiui – 33,9 proc., dyzelino – 21,8 proc., o automobilių dujų – 17,3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 ir Šiauliuose)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69,5 USD už barelį, o pabaigoje ji kainavo apie 67,61 USD už barelį. 2018 m. 29 savaitę šviesiosios naftos kaina šioje biržoje sumažėjo 2,7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2018 m. 29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64100" cy="36830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68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2018 m. 29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943600" cy="2184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