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E5BB3" w14:textId="77777777" w:rsidR="00BC6E7B" w:rsidRDefault="00273244" w:rsidP="00BC6E7B">
      <w:pPr>
        <w:jc w:val="center"/>
        <w:rPr>
          <w:rFonts w:ascii="Times New Roman" w:hAnsi="Times New Roman"/>
          <w:b/>
          <w:sz w:val="28"/>
          <w:szCs w:val="28"/>
        </w:rPr>
      </w:pPr>
      <w:r>
        <w:rPr>
          <w:rFonts w:ascii="Times New Roman" w:hAnsi="Times New Roman"/>
          <w:b/>
          <w:sz w:val="28"/>
          <w:szCs w:val="28"/>
        </w:rPr>
        <w:t xml:space="preserve">2019 m. I ketvirčio </w:t>
      </w:r>
      <w:r w:rsidR="002F155C">
        <w:rPr>
          <w:rFonts w:ascii="Times New Roman" w:hAnsi="Times New Roman"/>
          <w:b/>
          <w:sz w:val="28"/>
          <w:szCs w:val="28"/>
        </w:rPr>
        <w:t>vištienos</w:t>
      </w:r>
      <w:r w:rsidR="00BC6E7B" w:rsidRPr="00B02E11">
        <w:rPr>
          <w:rFonts w:ascii="Times New Roman" w:hAnsi="Times New Roman"/>
          <w:b/>
          <w:sz w:val="28"/>
          <w:szCs w:val="28"/>
        </w:rPr>
        <w:t xml:space="preserve"> rinkos apžvalga</w:t>
      </w:r>
    </w:p>
    <w:p w14:paraId="4590EC7F" w14:textId="77777777" w:rsidR="00B02E11" w:rsidRDefault="00B02E11" w:rsidP="00B02E11">
      <w:pPr>
        <w:pStyle w:val="Sraopastraipa"/>
        <w:tabs>
          <w:tab w:val="left" w:pos="1701"/>
        </w:tabs>
        <w:spacing w:line="360" w:lineRule="auto"/>
        <w:ind w:left="0" w:firstLine="1134"/>
        <w:jc w:val="both"/>
        <w:rPr>
          <w:color w:val="FF0000"/>
          <w:lang w:val="lt-LT"/>
        </w:rPr>
      </w:pPr>
    </w:p>
    <w:p w14:paraId="63CD9163" w14:textId="1338A368" w:rsidR="002F155C" w:rsidRDefault="002F155C" w:rsidP="002F155C">
      <w:pPr>
        <w:spacing w:after="0" w:line="360" w:lineRule="auto"/>
        <w:ind w:right="-65" w:firstLine="1134"/>
        <w:jc w:val="both"/>
        <w:rPr>
          <w:rFonts w:ascii="Times New Roman" w:hAnsi="Times New Roman"/>
          <w:sz w:val="24"/>
          <w:szCs w:val="24"/>
        </w:rPr>
      </w:pPr>
      <w:r>
        <w:rPr>
          <w:rFonts w:ascii="Times New Roman" w:hAnsi="Times New Roman"/>
          <w:sz w:val="24"/>
          <w:szCs w:val="24"/>
        </w:rPr>
        <w:t>2019 m. I ketvirtį</w:t>
      </w:r>
      <w:r w:rsidRPr="002913DB">
        <w:rPr>
          <w:rFonts w:ascii="Times New Roman" w:hAnsi="Times New Roman"/>
          <w:sz w:val="24"/>
          <w:szCs w:val="24"/>
        </w:rPr>
        <w:t xml:space="preserve">, palyginti su 2018 m. IV ketvirčiu, </w:t>
      </w:r>
      <w:r w:rsidRPr="002F155C">
        <w:rPr>
          <w:rFonts w:ascii="Times New Roman" w:hAnsi="Times New Roman"/>
          <w:sz w:val="24"/>
          <w:szCs w:val="24"/>
        </w:rPr>
        <w:t xml:space="preserve">mažmeninės prekybos dalis atvėsinto viščiuko broilerio kainų grandinėje sumažėjo 15,45 proc. (nuo 20,26 iki 17,13 proc.), </w:t>
      </w:r>
      <w:r>
        <w:rPr>
          <w:rFonts w:ascii="Times New Roman" w:hAnsi="Times New Roman"/>
          <w:sz w:val="24"/>
          <w:szCs w:val="24"/>
        </w:rPr>
        <w:t xml:space="preserve">o </w:t>
      </w:r>
      <w:r w:rsidRPr="002F155C">
        <w:rPr>
          <w:rFonts w:ascii="Times New Roman" w:hAnsi="Times New Roman"/>
          <w:sz w:val="24"/>
          <w:szCs w:val="24"/>
        </w:rPr>
        <w:t>gamintojo dalis padidėjo 5,03 proc.</w:t>
      </w:r>
      <w:r>
        <w:rPr>
          <w:rFonts w:ascii="Times New Roman" w:hAnsi="Times New Roman"/>
          <w:sz w:val="24"/>
          <w:szCs w:val="24"/>
        </w:rPr>
        <w:t xml:space="preserve"> (nuo </w:t>
      </w:r>
      <w:r w:rsidRPr="002F155C">
        <w:rPr>
          <w:rFonts w:ascii="Times New Roman" w:hAnsi="Times New Roman"/>
          <w:sz w:val="24"/>
          <w:szCs w:val="24"/>
        </w:rPr>
        <w:t>62,38 iki 65,52 proc.).</w:t>
      </w:r>
      <w:r w:rsidR="00793435">
        <w:rPr>
          <w:rFonts w:ascii="Times New Roman" w:hAnsi="Times New Roman"/>
          <w:sz w:val="24"/>
          <w:szCs w:val="24"/>
        </w:rPr>
        <w:t xml:space="preserve"> </w:t>
      </w:r>
      <w:r w:rsidRPr="002F155C">
        <w:rPr>
          <w:rFonts w:ascii="Times New Roman" w:hAnsi="Times New Roman"/>
          <w:sz w:val="24"/>
          <w:szCs w:val="24"/>
        </w:rPr>
        <w:t>PVM dalis sudarė 17,4 proc. mažmeninės kainos</w:t>
      </w:r>
      <w:r>
        <w:rPr>
          <w:rFonts w:ascii="Times New Roman" w:hAnsi="Times New Roman"/>
          <w:sz w:val="24"/>
          <w:szCs w:val="24"/>
        </w:rPr>
        <w:t>.</w:t>
      </w:r>
    </w:p>
    <w:p w14:paraId="604F6738" w14:textId="77777777" w:rsidR="00DF0A61" w:rsidRDefault="00DF0A61" w:rsidP="002F155C">
      <w:pPr>
        <w:spacing w:after="0" w:line="360" w:lineRule="auto"/>
        <w:ind w:right="-65" w:firstLine="1134"/>
        <w:jc w:val="both"/>
        <w:rPr>
          <w:rFonts w:ascii="Times New Roman" w:hAnsi="Times New Roman"/>
          <w:sz w:val="24"/>
          <w:szCs w:val="24"/>
        </w:rPr>
      </w:pPr>
    </w:p>
    <w:p w14:paraId="6137AA88" w14:textId="77777777" w:rsidR="002F155C" w:rsidRPr="002F155C" w:rsidRDefault="002F155C" w:rsidP="002F155C">
      <w:pPr>
        <w:spacing w:after="0" w:line="360" w:lineRule="auto"/>
        <w:ind w:right="-65"/>
        <w:jc w:val="both"/>
        <w:rPr>
          <w:rFonts w:ascii="Times New Roman" w:hAnsi="Times New Roman"/>
          <w:noProof/>
          <w:sz w:val="24"/>
          <w:szCs w:val="24"/>
          <w:lang w:eastAsia="lt-LT"/>
        </w:rPr>
      </w:pPr>
      <w:r>
        <w:rPr>
          <w:noProof/>
          <w:lang w:val="en-US"/>
        </w:rPr>
        <w:drawing>
          <wp:inline distT="0" distB="0" distL="0" distR="0" wp14:anchorId="4E43F9B3" wp14:editId="20CF2970">
            <wp:extent cx="6777467" cy="3899535"/>
            <wp:effectExtent l="0" t="0" r="4445" b="571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95FF6B" w14:textId="77777777" w:rsidR="00D30F60" w:rsidRDefault="00D30F60" w:rsidP="002F155C">
      <w:pPr>
        <w:spacing w:after="0" w:line="360" w:lineRule="auto"/>
        <w:ind w:firstLine="1134"/>
        <w:rPr>
          <w:noProof/>
          <w:lang w:eastAsia="lt-LT"/>
        </w:rPr>
      </w:pPr>
    </w:p>
    <w:p w14:paraId="287487CF" w14:textId="77777777" w:rsidR="009F6612" w:rsidRPr="007A670E" w:rsidRDefault="009F6612" w:rsidP="009F6612">
      <w:pPr>
        <w:spacing w:after="0" w:line="240" w:lineRule="auto"/>
        <w:rPr>
          <w:rFonts w:ascii="Times New Roman" w:eastAsia="Times New Roman" w:hAnsi="Times New Roman"/>
          <w:color w:val="000000"/>
          <w:sz w:val="20"/>
          <w:szCs w:val="20"/>
          <w:lang w:eastAsia="lt-LT"/>
        </w:rPr>
      </w:pPr>
      <w:r w:rsidRPr="007A670E">
        <w:rPr>
          <w:rFonts w:ascii="Times New Roman" w:eastAsia="Times New Roman" w:hAnsi="Times New Roman"/>
          <w:b/>
          <w:bCs/>
          <w:color w:val="000000"/>
          <w:sz w:val="20"/>
          <w:szCs w:val="20"/>
          <w:lang w:eastAsia="lt-LT"/>
        </w:rPr>
        <w:t xml:space="preserve">Pastaba: </w:t>
      </w:r>
      <w:r w:rsidRPr="007A670E">
        <w:rPr>
          <w:rFonts w:ascii="Times New Roman" w:eastAsia="Times New Roman" w:hAnsi="Times New Roman"/>
          <w:color w:val="000000"/>
          <w:sz w:val="20"/>
          <w:szCs w:val="20"/>
          <w:lang w:eastAsia="lt-LT"/>
        </w:rPr>
        <w:t>į vidutinės mažmeninės kainos apskaičiavimą neįtrauktos akcinės kainos</w:t>
      </w:r>
      <w:r w:rsidR="00213D26">
        <w:rPr>
          <w:rFonts w:ascii="Times New Roman" w:eastAsia="Times New Roman" w:hAnsi="Times New Roman"/>
          <w:color w:val="000000"/>
          <w:sz w:val="20"/>
          <w:szCs w:val="20"/>
          <w:lang w:eastAsia="lt-LT"/>
        </w:rPr>
        <w:t>.</w:t>
      </w:r>
    </w:p>
    <w:p w14:paraId="198AE52C" w14:textId="77777777" w:rsidR="00D30F60" w:rsidRDefault="00D30F60" w:rsidP="00E375CA">
      <w:pPr>
        <w:jc w:val="right"/>
        <w:rPr>
          <w:rFonts w:ascii="Times New Roman" w:hAnsi="Times New Roman"/>
          <w:sz w:val="20"/>
          <w:szCs w:val="20"/>
        </w:rPr>
      </w:pPr>
    </w:p>
    <w:p w14:paraId="00867BB7" w14:textId="77777777" w:rsidR="00E375CA" w:rsidRDefault="00E375CA" w:rsidP="00E375CA">
      <w:pPr>
        <w:jc w:val="right"/>
        <w:rPr>
          <w:rFonts w:ascii="Times New Roman" w:hAnsi="Times New Roman"/>
          <w:sz w:val="20"/>
          <w:szCs w:val="20"/>
        </w:rPr>
      </w:pPr>
      <w:r w:rsidRPr="00695115">
        <w:rPr>
          <w:rFonts w:ascii="Times New Roman" w:hAnsi="Times New Roman"/>
          <w:sz w:val="20"/>
          <w:szCs w:val="20"/>
        </w:rPr>
        <w:t>Šaltinis: ŽŪIKVC (LŽŪMPRIS)</w:t>
      </w:r>
    </w:p>
    <w:p w14:paraId="4244CDD5" w14:textId="77777777" w:rsidR="00FF668B" w:rsidRDefault="00FF668B" w:rsidP="00BC6E7B">
      <w:pPr>
        <w:jc w:val="center"/>
        <w:rPr>
          <w:rFonts w:ascii="Times New Roman" w:hAnsi="Times New Roman"/>
          <w:b/>
          <w:color w:val="FF0000"/>
          <w:sz w:val="24"/>
          <w:szCs w:val="24"/>
        </w:rPr>
      </w:pPr>
    </w:p>
    <w:p w14:paraId="6499409D" w14:textId="7EE17B9C" w:rsidR="00FF668B" w:rsidRDefault="00FF668B" w:rsidP="00FF668B">
      <w:pPr>
        <w:spacing w:after="0" w:line="360" w:lineRule="auto"/>
        <w:ind w:right="-62" w:firstLine="1134"/>
        <w:jc w:val="both"/>
        <w:rPr>
          <w:rFonts w:ascii="Times New Roman" w:hAnsi="Times New Roman"/>
          <w:sz w:val="24"/>
          <w:szCs w:val="24"/>
        </w:rPr>
      </w:pPr>
      <w:r>
        <w:rPr>
          <w:rFonts w:ascii="Times New Roman" w:hAnsi="Times New Roman"/>
          <w:sz w:val="24"/>
          <w:szCs w:val="24"/>
        </w:rPr>
        <w:t xml:space="preserve">Analizuojamu laikotarpiu </w:t>
      </w:r>
      <w:r w:rsidR="00793435" w:rsidRPr="00DF0A61">
        <w:rPr>
          <w:rFonts w:ascii="Times New Roman" w:hAnsi="Times New Roman"/>
          <w:sz w:val="24"/>
          <w:szCs w:val="24"/>
        </w:rPr>
        <w:t>atvėsinto viščiuko broilerio</w:t>
      </w:r>
      <w:r w:rsidRPr="002913DB">
        <w:rPr>
          <w:rFonts w:ascii="Times New Roman" w:hAnsi="Times New Roman"/>
          <w:sz w:val="24"/>
          <w:szCs w:val="24"/>
        </w:rPr>
        <w:t xml:space="preserve"> grandinėje mažmeninės prekybos dalis, palyginti su 2018 m. IV ketvirčiu, </w:t>
      </w:r>
      <w:r w:rsidR="00DF0A61">
        <w:rPr>
          <w:rFonts w:ascii="Times New Roman" w:hAnsi="Times New Roman"/>
          <w:sz w:val="24"/>
          <w:szCs w:val="24"/>
        </w:rPr>
        <w:t>sumaž</w:t>
      </w:r>
      <w:r w:rsidRPr="002913DB">
        <w:rPr>
          <w:rFonts w:ascii="Times New Roman" w:hAnsi="Times New Roman"/>
          <w:sz w:val="24"/>
          <w:szCs w:val="24"/>
        </w:rPr>
        <w:t>ėjo 3,</w:t>
      </w:r>
      <w:r w:rsidR="00DF0A61">
        <w:rPr>
          <w:rFonts w:ascii="Times New Roman" w:hAnsi="Times New Roman"/>
          <w:sz w:val="24"/>
          <w:szCs w:val="24"/>
        </w:rPr>
        <w:t>1</w:t>
      </w:r>
      <w:r w:rsidRPr="002913DB">
        <w:rPr>
          <w:rFonts w:ascii="Times New Roman" w:hAnsi="Times New Roman"/>
          <w:sz w:val="24"/>
          <w:szCs w:val="24"/>
        </w:rPr>
        <w:t xml:space="preserve"> proc. punktu (iki </w:t>
      </w:r>
      <w:r w:rsidR="00DF0A61">
        <w:rPr>
          <w:rFonts w:ascii="Times New Roman" w:hAnsi="Times New Roman"/>
          <w:sz w:val="24"/>
          <w:szCs w:val="24"/>
        </w:rPr>
        <w:t>17,13</w:t>
      </w:r>
      <w:r w:rsidRPr="002913DB">
        <w:rPr>
          <w:rFonts w:ascii="Times New Roman" w:hAnsi="Times New Roman"/>
          <w:sz w:val="24"/>
          <w:szCs w:val="24"/>
        </w:rPr>
        <w:t xml:space="preserve"> proc.), </w:t>
      </w:r>
      <w:r w:rsidR="00DF0A61">
        <w:rPr>
          <w:rFonts w:ascii="Times New Roman" w:hAnsi="Times New Roman"/>
          <w:sz w:val="24"/>
          <w:szCs w:val="24"/>
        </w:rPr>
        <w:t>gamintoj</w:t>
      </w:r>
      <w:r w:rsidRPr="002913DB">
        <w:rPr>
          <w:rFonts w:ascii="Times New Roman" w:hAnsi="Times New Roman"/>
          <w:sz w:val="24"/>
          <w:szCs w:val="24"/>
        </w:rPr>
        <w:t xml:space="preserve">ų </w:t>
      </w:r>
      <w:r w:rsidR="00213D26">
        <w:rPr>
          <w:rFonts w:ascii="Times New Roman" w:hAnsi="Times New Roman"/>
          <w:sz w:val="24"/>
          <w:szCs w:val="24"/>
        </w:rPr>
        <w:t>dalis</w:t>
      </w:r>
      <w:r>
        <w:rPr>
          <w:rFonts w:ascii="Times New Roman" w:hAnsi="Times New Roman"/>
          <w:sz w:val="24"/>
          <w:szCs w:val="24"/>
        </w:rPr>
        <w:t xml:space="preserve"> </w:t>
      </w:r>
      <w:r w:rsidR="00DF0A61">
        <w:rPr>
          <w:rFonts w:ascii="Times New Roman" w:hAnsi="Times New Roman"/>
          <w:sz w:val="24"/>
          <w:szCs w:val="24"/>
        </w:rPr>
        <w:t>padidėjo, atitinkamai, 3,1</w:t>
      </w:r>
      <w:r w:rsidRPr="002913DB">
        <w:rPr>
          <w:rFonts w:ascii="Times New Roman" w:hAnsi="Times New Roman"/>
          <w:sz w:val="24"/>
          <w:szCs w:val="24"/>
        </w:rPr>
        <w:t xml:space="preserve"> proc. punktu</w:t>
      </w:r>
      <w:r>
        <w:rPr>
          <w:rFonts w:ascii="Times New Roman" w:hAnsi="Times New Roman"/>
          <w:sz w:val="24"/>
          <w:szCs w:val="24"/>
        </w:rPr>
        <w:t xml:space="preserve"> </w:t>
      </w:r>
      <w:r w:rsidRPr="002913DB">
        <w:rPr>
          <w:rFonts w:ascii="Times New Roman" w:hAnsi="Times New Roman"/>
          <w:sz w:val="24"/>
          <w:szCs w:val="24"/>
        </w:rPr>
        <w:t xml:space="preserve">(iki </w:t>
      </w:r>
      <w:r w:rsidR="00DF0A61">
        <w:rPr>
          <w:rFonts w:ascii="Times New Roman" w:hAnsi="Times New Roman"/>
          <w:sz w:val="24"/>
          <w:szCs w:val="24"/>
        </w:rPr>
        <w:t xml:space="preserve">65,52 proc.), </w:t>
      </w:r>
      <w:r w:rsidRPr="002913DB">
        <w:rPr>
          <w:rFonts w:ascii="Times New Roman" w:hAnsi="Times New Roman"/>
          <w:sz w:val="24"/>
          <w:szCs w:val="24"/>
        </w:rPr>
        <w:t>PVM dalis sudarė 17,4 proc. visos mažmeninės kainos</w:t>
      </w:r>
      <w:r w:rsidR="008C0A46">
        <w:rPr>
          <w:rFonts w:ascii="Times New Roman" w:hAnsi="Times New Roman"/>
          <w:sz w:val="24"/>
          <w:szCs w:val="24"/>
        </w:rPr>
        <w:t>.</w:t>
      </w:r>
    </w:p>
    <w:p w14:paraId="6650C357" w14:textId="2B4FFDAB" w:rsidR="00CF5EA3" w:rsidRPr="00CF5EA3" w:rsidRDefault="00CF5EA3" w:rsidP="00FF668B">
      <w:pPr>
        <w:spacing w:after="0" w:line="360" w:lineRule="auto"/>
        <w:ind w:right="-62" w:firstLine="1134"/>
        <w:jc w:val="both"/>
        <w:rPr>
          <w:rFonts w:ascii="Times New Roman" w:hAnsi="Times New Roman"/>
          <w:sz w:val="24"/>
          <w:szCs w:val="24"/>
        </w:rPr>
      </w:pPr>
      <w:r w:rsidRPr="00CF5EA3">
        <w:rPr>
          <w:rFonts w:ascii="Times New Roman" w:hAnsi="Times New Roman"/>
          <w:sz w:val="24"/>
          <w:szCs w:val="24"/>
        </w:rPr>
        <w:t xml:space="preserve">2019 m. I ketvirtį atvėsinto viščiuko broilerio vidutinės </w:t>
      </w:r>
      <w:r w:rsidRPr="00CF5EA3">
        <w:rPr>
          <w:rFonts w:ascii="Times New Roman" w:hAnsi="Times New Roman"/>
          <w:b/>
          <w:sz w:val="24"/>
          <w:szCs w:val="24"/>
        </w:rPr>
        <w:t xml:space="preserve">mažmeninė </w:t>
      </w:r>
      <w:r w:rsidRPr="00CF5EA3">
        <w:rPr>
          <w:rFonts w:ascii="Times New Roman" w:hAnsi="Times New Roman"/>
          <w:sz w:val="24"/>
          <w:szCs w:val="24"/>
        </w:rPr>
        <w:t>kaina (neįskaitant akcinių) Lietuvos didžiųjų prekybos tinklų parduotuvėse nuosekliai mažėjo nuo 2018 m. I ketvirčio. 2019 m. I ketvirtį</w:t>
      </w:r>
      <w:r w:rsidR="00774D25">
        <w:rPr>
          <w:rFonts w:ascii="Times New Roman" w:hAnsi="Times New Roman"/>
          <w:sz w:val="24"/>
          <w:szCs w:val="24"/>
        </w:rPr>
        <w:t>,</w:t>
      </w:r>
      <w:r w:rsidRPr="00CF5EA3">
        <w:rPr>
          <w:rFonts w:ascii="Times New Roman" w:hAnsi="Times New Roman"/>
          <w:sz w:val="24"/>
          <w:szCs w:val="24"/>
        </w:rPr>
        <w:t xml:space="preserve"> </w:t>
      </w:r>
      <w:r w:rsidR="00774D25" w:rsidRPr="00CF5EA3">
        <w:rPr>
          <w:rFonts w:ascii="Times New Roman" w:hAnsi="Times New Roman"/>
          <w:sz w:val="24"/>
          <w:szCs w:val="24"/>
        </w:rPr>
        <w:t xml:space="preserve">palyginti su 2018 m. IV ketvirčiu, </w:t>
      </w:r>
      <w:r w:rsidRPr="00CF5EA3">
        <w:rPr>
          <w:rFonts w:ascii="Times New Roman" w:hAnsi="Times New Roman"/>
          <w:sz w:val="24"/>
          <w:szCs w:val="24"/>
        </w:rPr>
        <w:t>šis sumažėjimas buvo nežymus – 0,45 proc. (0,01 EUR/kg), tačiau</w:t>
      </w:r>
      <w:r w:rsidR="00213D26">
        <w:rPr>
          <w:rFonts w:ascii="Times New Roman" w:hAnsi="Times New Roman"/>
          <w:sz w:val="24"/>
          <w:szCs w:val="24"/>
        </w:rPr>
        <w:t>,</w:t>
      </w:r>
      <w:r w:rsidRPr="00CF5EA3">
        <w:rPr>
          <w:rFonts w:ascii="Times New Roman" w:hAnsi="Times New Roman"/>
          <w:sz w:val="24"/>
          <w:szCs w:val="24"/>
        </w:rPr>
        <w:t xml:space="preserve"> palyginti su praėj</w:t>
      </w:r>
      <w:r w:rsidR="00774D25">
        <w:rPr>
          <w:rFonts w:ascii="Times New Roman" w:hAnsi="Times New Roman"/>
          <w:sz w:val="24"/>
          <w:szCs w:val="24"/>
        </w:rPr>
        <w:t xml:space="preserve">usių metų tuo pačiu laikotarpiu, </w:t>
      </w:r>
      <w:r w:rsidRPr="00CF5EA3">
        <w:rPr>
          <w:rFonts w:ascii="Times New Roman" w:hAnsi="Times New Roman"/>
          <w:sz w:val="24"/>
          <w:szCs w:val="24"/>
        </w:rPr>
        <w:t xml:space="preserve">atvėsintų viščiukų broilerių </w:t>
      </w:r>
      <w:r w:rsidR="00774D25">
        <w:rPr>
          <w:rFonts w:ascii="Times New Roman" w:hAnsi="Times New Roman"/>
          <w:sz w:val="24"/>
          <w:szCs w:val="24"/>
        </w:rPr>
        <w:t xml:space="preserve">mažmeninė </w:t>
      </w:r>
      <w:r w:rsidRPr="00CF5EA3">
        <w:rPr>
          <w:rFonts w:ascii="Times New Roman" w:hAnsi="Times New Roman"/>
          <w:sz w:val="24"/>
          <w:szCs w:val="24"/>
        </w:rPr>
        <w:t>kaina buvo 5,56 proc. mažesnė.</w:t>
      </w:r>
    </w:p>
    <w:p w14:paraId="4362C78F" w14:textId="77777777" w:rsidR="00D30F60" w:rsidRDefault="00793435" w:rsidP="00793435">
      <w:pPr>
        <w:spacing w:after="0" w:line="360" w:lineRule="auto"/>
        <w:ind w:right="-62"/>
        <w:jc w:val="both"/>
        <w:rPr>
          <w:rFonts w:ascii="Times New Roman" w:hAnsi="Times New Roman"/>
          <w:sz w:val="24"/>
          <w:szCs w:val="24"/>
        </w:rPr>
      </w:pPr>
      <w:r>
        <w:rPr>
          <w:noProof/>
          <w:lang w:val="en-US"/>
        </w:rPr>
        <w:lastRenderedPageBreak/>
        <w:drawing>
          <wp:inline distT="0" distB="0" distL="0" distR="0" wp14:anchorId="46756642" wp14:editId="20E0D123">
            <wp:extent cx="6777318" cy="3917315"/>
            <wp:effectExtent l="0" t="0" r="5080" b="698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8E8274" w14:textId="77777777" w:rsidR="00D30F60" w:rsidRDefault="00D30F60" w:rsidP="00FF668B">
      <w:pPr>
        <w:spacing w:after="0" w:line="360" w:lineRule="auto"/>
        <w:ind w:right="-62" w:firstLine="1134"/>
        <w:jc w:val="both"/>
        <w:rPr>
          <w:rFonts w:ascii="Times New Roman" w:hAnsi="Times New Roman"/>
          <w:sz w:val="24"/>
          <w:szCs w:val="24"/>
        </w:rPr>
      </w:pPr>
    </w:p>
    <w:p w14:paraId="592F7D3F" w14:textId="77777777" w:rsidR="008C0A46" w:rsidRPr="007A670E" w:rsidRDefault="008C0A46" w:rsidP="008C0A46">
      <w:pPr>
        <w:spacing w:after="0" w:line="240" w:lineRule="auto"/>
        <w:rPr>
          <w:rFonts w:ascii="Times New Roman" w:eastAsia="Times New Roman" w:hAnsi="Times New Roman"/>
          <w:color w:val="000000"/>
          <w:sz w:val="20"/>
          <w:szCs w:val="20"/>
          <w:lang w:eastAsia="lt-LT"/>
        </w:rPr>
      </w:pPr>
      <w:r w:rsidRPr="007A670E">
        <w:rPr>
          <w:rFonts w:ascii="Times New Roman" w:eastAsia="Times New Roman" w:hAnsi="Times New Roman"/>
          <w:b/>
          <w:bCs/>
          <w:color w:val="000000"/>
          <w:sz w:val="20"/>
          <w:szCs w:val="20"/>
          <w:lang w:eastAsia="lt-LT"/>
        </w:rPr>
        <w:t xml:space="preserve">Pastaba: </w:t>
      </w:r>
      <w:r w:rsidRPr="007A670E">
        <w:rPr>
          <w:rFonts w:ascii="Times New Roman" w:eastAsia="Times New Roman" w:hAnsi="Times New Roman"/>
          <w:color w:val="000000"/>
          <w:sz w:val="20"/>
          <w:szCs w:val="20"/>
          <w:lang w:eastAsia="lt-LT"/>
        </w:rPr>
        <w:t>į vidutinės mažmeninės kainos apskaičiavimą neįtrauktos akcinės kainos</w:t>
      </w:r>
    </w:p>
    <w:p w14:paraId="0DE4C350" w14:textId="77777777" w:rsidR="008C0A46" w:rsidRPr="008C0A46" w:rsidRDefault="008C0A46" w:rsidP="008C0A46">
      <w:pPr>
        <w:spacing w:after="0" w:line="360" w:lineRule="auto"/>
        <w:ind w:right="-62"/>
        <w:rPr>
          <w:rFonts w:ascii="Times New Roman" w:hAnsi="Times New Roman"/>
          <w:sz w:val="20"/>
          <w:szCs w:val="20"/>
        </w:rPr>
      </w:pPr>
    </w:p>
    <w:p w14:paraId="1C259D58" w14:textId="77777777" w:rsidR="00526DC7" w:rsidRDefault="008C0A46" w:rsidP="00DF0A61">
      <w:pPr>
        <w:jc w:val="right"/>
        <w:rPr>
          <w:rFonts w:ascii="Times New Roman" w:hAnsi="Times New Roman"/>
          <w:sz w:val="20"/>
          <w:szCs w:val="20"/>
        </w:rPr>
      </w:pPr>
      <w:r w:rsidRPr="00695115">
        <w:rPr>
          <w:rFonts w:ascii="Times New Roman" w:hAnsi="Times New Roman"/>
          <w:sz w:val="20"/>
          <w:szCs w:val="20"/>
        </w:rPr>
        <w:t>Šaltinis: ŽŪIKVC (LŽŪMPRIS)</w:t>
      </w:r>
    </w:p>
    <w:p w14:paraId="6A12052B" w14:textId="77777777" w:rsidR="00526DC7" w:rsidRPr="00CB0DB9" w:rsidRDefault="00526DC7" w:rsidP="00914CD1">
      <w:pPr>
        <w:spacing w:after="0"/>
        <w:jc w:val="right"/>
        <w:rPr>
          <w:rFonts w:ascii="Times New Roman" w:hAnsi="Times New Roman"/>
          <w:sz w:val="16"/>
          <w:szCs w:val="16"/>
        </w:rPr>
      </w:pPr>
    </w:p>
    <w:p w14:paraId="505D3868" w14:textId="2F5469B4" w:rsidR="00CF5EA3" w:rsidRDefault="009A1E79" w:rsidP="00914CD1">
      <w:pPr>
        <w:pStyle w:val="Sraopastraipa"/>
        <w:tabs>
          <w:tab w:val="left" w:pos="1701"/>
        </w:tabs>
        <w:spacing w:line="360" w:lineRule="auto"/>
        <w:ind w:left="0" w:firstLine="851"/>
        <w:jc w:val="both"/>
        <w:rPr>
          <w:lang w:val="lt-LT"/>
        </w:rPr>
      </w:pPr>
      <w:r w:rsidRPr="00142F0E">
        <w:rPr>
          <w:lang w:val="lt-LT"/>
        </w:rPr>
        <w:t xml:space="preserve">Prognozuojama, kad </w:t>
      </w:r>
      <w:r w:rsidR="00FB4B3A">
        <w:rPr>
          <w:lang w:val="lt-LT"/>
        </w:rPr>
        <w:t>p</w:t>
      </w:r>
      <w:r w:rsidR="00E2370B">
        <w:rPr>
          <w:lang w:val="lt-LT"/>
        </w:rPr>
        <w:t xml:space="preserve">adidėjus viščiukų broilerių gamintojo </w:t>
      </w:r>
      <w:r w:rsidR="00FB4B3A">
        <w:rPr>
          <w:lang w:val="lt-LT"/>
        </w:rPr>
        <w:t>kainoms</w:t>
      </w:r>
      <w:r w:rsidR="00CF5EA3">
        <w:rPr>
          <w:lang w:val="lt-LT"/>
        </w:rPr>
        <w:t xml:space="preserve"> Lenkijoje, taip pat </w:t>
      </w:r>
      <w:r w:rsidR="00E2370B">
        <w:rPr>
          <w:lang w:val="lt-LT"/>
        </w:rPr>
        <w:t xml:space="preserve">dėl </w:t>
      </w:r>
      <w:r w:rsidR="00CF5EA3">
        <w:rPr>
          <w:lang w:val="lt-LT"/>
        </w:rPr>
        <w:t>didelės gamybos</w:t>
      </w:r>
      <w:r w:rsidR="00E2370B">
        <w:rPr>
          <w:lang w:val="lt-LT"/>
        </w:rPr>
        <w:t xml:space="preserve"> savikainos </w:t>
      </w:r>
      <w:r w:rsidR="00CF5EA3">
        <w:rPr>
          <w:lang w:val="lt-LT"/>
        </w:rPr>
        <w:t>(</w:t>
      </w:r>
      <w:r w:rsidR="00774D25">
        <w:rPr>
          <w:lang w:val="lt-LT"/>
        </w:rPr>
        <w:t xml:space="preserve">ŽŪIKVC duomenimis, </w:t>
      </w:r>
      <w:r w:rsidR="00CF5EA3">
        <w:rPr>
          <w:lang w:val="lt-LT"/>
        </w:rPr>
        <w:t>2019 m. sausio</w:t>
      </w:r>
      <w:r w:rsidR="00774D25" w:rsidRPr="00CF5EA3">
        <w:t>–</w:t>
      </w:r>
      <w:r w:rsidR="00CF5EA3">
        <w:rPr>
          <w:lang w:val="lt-LT"/>
        </w:rPr>
        <w:t>kovo mėn. pašarinių kviečių kaina buvo 3,6 proc. aukštesnė nei 2018 m. IV ketv. ir 31,4 proc. aukštesnė nei 2018 m. I ketv</w:t>
      </w:r>
      <w:r w:rsidR="00213D26">
        <w:rPr>
          <w:lang w:val="lt-LT"/>
        </w:rPr>
        <w:t>.</w:t>
      </w:r>
      <w:r w:rsidR="00CF5EA3">
        <w:rPr>
          <w:lang w:val="lt-LT"/>
        </w:rPr>
        <w:t xml:space="preserve">) padidėjus </w:t>
      </w:r>
      <w:r w:rsidR="00E2370B">
        <w:rPr>
          <w:lang w:val="lt-LT"/>
        </w:rPr>
        <w:t>gamintojų kainoms</w:t>
      </w:r>
      <w:r w:rsidR="00CF5EA3">
        <w:rPr>
          <w:lang w:val="lt-LT"/>
        </w:rPr>
        <w:t>,</w:t>
      </w:r>
      <w:r w:rsidR="00E2370B">
        <w:rPr>
          <w:lang w:val="lt-LT"/>
        </w:rPr>
        <w:t xml:space="preserve"> mažmeninė atvėsintų viščiukų broilerių kaina </w:t>
      </w:r>
      <w:r w:rsidR="00E2370B" w:rsidRPr="00142F0E">
        <w:rPr>
          <w:lang w:val="lt-LT"/>
        </w:rPr>
        <w:t xml:space="preserve">artimiausiu laikotarpiu </w:t>
      </w:r>
      <w:r w:rsidR="00E2370B">
        <w:rPr>
          <w:lang w:val="lt-LT"/>
        </w:rPr>
        <w:t xml:space="preserve">turėtų šiek tiek didėti. </w:t>
      </w:r>
    </w:p>
    <w:p w14:paraId="2349DC4D" w14:textId="77777777" w:rsidR="00A26C83" w:rsidRPr="00914CD1" w:rsidRDefault="00382FA6" w:rsidP="00914CD1">
      <w:pPr>
        <w:tabs>
          <w:tab w:val="left" w:pos="1701"/>
        </w:tabs>
        <w:spacing w:line="360" w:lineRule="auto"/>
        <w:jc w:val="both"/>
      </w:pPr>
      <w:r>
        <w:rPr>
          <w:noProof/>
          <w:lang w:val="en-US"/>
        </w:rPr>
        <w:drawing>
          <wp:inline distT="0" distB="0" distL="0" distR="0" wp14:anchorId="6BC3F96A" wp14:editId="58443F35">
            <wp:extent cx="6619875" cy="2867025"/>
            <wp:effectExtent l="0" t="0" r="9525" b="952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954CBD" w14:textId="5467F5FB" w:rsidR="00526DC7" w:rsidRDefault="00956F61" w:rsidP="00CB0DB9">
      <w:pPr>
        <w:rPr>
          <w:rFonts w:ascii="Times New Roman" w:hAnsi="Times New Roman"/>
          <w:sz w:val="20"/>
          <w:szCs w:val="20"/>
        </w:rPr>
      </w:pPr>
      <w:r w:rsidRPr="00CB0DB9">
        <w:rPr>
          <w:rFonts w:ascii="Times New Roman" w:hAnsi="Times New Roman"/>
          <w:b/>
          <w:sz w:val="18"/>
          <w:szCs w:val="18"/>
        </w:rPr>
        <w:t>Pastabos.</w:t>
      </w:r>
      <w:r w:rsidRPr="00CB0DB9">
        <w:rPr>
          <w:rFonts w:ascii="Times New Roman" w:hAnsi="Times New Roman"/>
          <w:sz w:val="18"/>
          <w:szCs w:val="18"/>
        </w:rPr>
        <w:t xml:space="preserve"> Kainos registruojamos Vilniaus, Kauno, Klaipėdos, Panevėžio, Šiaulių, Alytaus ir Marijampolės miestų „Maxima“, „Iki“, „Rimi“, „Norfa“ ir „Lidl“ prekybos tinklų parduotuvėse. Apskaičiuojant vidutines mažmenines produktų kainas neįtraukiamos trumpalaikių nuolaidų (akcijų) kainų vertės</w:t>
      </w:r>
      <w:r w:rsidR="00213D26">
        <w:rPr>
          <w:rFonts w:ascii="Times New Roman" w:hAnsi="Times New Roman"/>
          <w:sz w:val="18"/>
          <w:szCs w:val="18"/>
        </w:rPr>
        <w:t>.</w:t>
      </w:r>
      <w:r w:rsidR="00526DC7" w:rsidRPr="00CB0DB9">
        <w:rPr>
          <w:rFonts w:ascii="Times New Roman" w:hAnsi="Times New Roman"/>
          <w:sz w:val="18"/>
          <w:szCs w:val="18"/>
        </w:rPr>
        <w:t xml:space="preserve">  </w:t>
      </w:r>
      <w:r w:rsidR="00CB0DB9">
        <w:rPr>
          <w:rFonts w:ascii="Times New Roman" w:hAnsi="Times New Roman"/>
          <w:sz w:val="18"/>
          <w:szCs w:val="18"/>
        </w:rPr>
        <w:t xml:space="preserve">                                                                                                                                     </w:t>
      </w:r>
      <w:r w:rsidR="00526DC7" w:rsidRPr="00934C20">
        <w:rPr>
          <w:rFonts w:ascii="Times New Roman" w:hAnsi="Times New Roman"/>
          <w:sz w:val="20"/>
          <w:szCs w:val="20"/>
        </w:rPr>
        <w:t>Šaltinis: ŽŪIKVC (LŽŪMPRIS)</w:t>
      </w:r>
    </w:p>
    <w:p w14:paraId="71ADD589" w14:textId="77777777" w:rsidR="00142F0E" w:rsidRPr="004F4B8F" w:rsidRDefault="00142F0E" w:rsidP="00956F61">
      <w:pPr>
        <w:jc w:val="right"/>
        <w:rPr>
          <w:rFonts w:ascii="Times New Roman" w:hAnsi="Times New Roman"/>
          <w:sz w:val="20"/>
          <w:szCs w:val="20"/>
        </w:rPr>
      </w:pPr>
    </w:p>
    <w:p w14:paraId="34E5D1AC" w14:textId="2FD2C6AC" w:rsidR="00ED3200" w:rsidRPr="004F4B8F" w:rsidRDefault="00514C3A" w:rsidP="00861FFD">
      <w:pPr>
        <w:pStyle w:val="Sraopastraipa"/>
        <w:tabs>
          <w:tab w:val="left" w:pos="1701"/>
        </w:tabs>
        <w:spacing w:line="360" w:lineRule="auto"/>
        <w:ind w:left="0" w:firstLine="851"/>
        <w:jc w:val="both"/>
        <w:rPr>
          <w:lang w:val="lt-LT"/>
        </w:rPr>
      </w:pPr>
      <w:r w:rsidRPr="006D54F3">
        <w:rPr>
          <w:lang w:val="lt-LT"/>
        </w:rPr>
        <w:lastRenderedPageBreak/>
        <w:t>Vidutinės mažmeninės</w:t>
      </w:r>
      <w:r w:rsidR="00911B90">
        <w:rPr>
          <w:lang w:val="lt-LT"/>
        </w:rPr>
        <w:t xml:space="preserve"> </w:t>
      </w:r>
      <w:r w:rsidR="00382FA6">
        <w:rPr>
          <w:lang w:val="lt-LT"/>
        </w:rPr>
        <w:t>atvėsintų viščiukų broilerių</w:t>
      </w:r>
      <w:r w:rsidR="00911B90">
        <w:rPr>
          <w:lang w:val="lt-LT"/>
        </w:rPr>
        <w:t xml:space="preserve"> </w:t>
      </w:r>
      <w:r w:rsidRPr="006D54F3">
        <w:rPr>
          <w:lang w:val="lt-LT"/>
        </w:rPr>
        <w:t xml:space="preserve">kainos Lenkijoje taip pat mažėjo. 2019 m. I ketvirtį, palyginti su 2018 m. IV ketvirčiu, </w:t>
      </w:r>
      <w:r w:rsidR="00DC0B90">
        <w:rPr>
          <w:lang w:val="lt-LT"/>
        </w:rPr>
        <w:t xml:space="preserve">vidutinė </w:t>
      </w:r>
      <w:r w:rsidR="00382FA6">
        <w:rPr>
          <w:lang w:val="lt-LT"/>
        </w:rPr>
        <w:t xml:space="preserve">mažmeninė atvėsinto viščiuko broilerio kaina </w:t>
      </w:r>
      <w:r w:rsidR="00DC0B90">
        <w:rPr>
          <w:lang w:val="lt-LT"/>
        </w:rPr>
        <w:t>Lenkijoje</w:t>
      </w:r>
      <w:r w:rsidR="00382FA6">
        <w:rPr>
          <w:lang w:val="lt-LT"/>
        </w:rPr>
        <w:t xml:space="preserve"> </w:t>
      </w:r>
      <w:r w:rsidRPr="006D54F3">
        <w:rPr>
          <w:lang w:val="lt-LT"/>
        </w:rPr>
        <w:t>sumažėjo 1,2 proc.</w:t>
      </w:r>
      <w:r w:rsidR="006C77C9" w:rsidRPr="006D54F3">
        <w:rPr>
          <w:lang w:val="lt-LT"/>
        </w:rPr>
        <w:t xml:space="preserve"> ir buvo 0,</w:t>
      </w:r>
      <w:r w:rsidR="00DC0B90">
        <w:rPr>
          <w:lang w:val="lt-LT"/>
        </w:rPr>
        <w:t>47</w:t>
      </w:r>
      <w:r w:rsidR="006C77C9" w:rsidRPr="006D54F3">
        <w:rPr>
          <w:lang w:val="lt-LT"/>
        </w:rPr>
        <w:t xml:space="preserve"> </w:t>
      </w:r>
      <w:r w:rsidR="00193059" w:rsidRPr="006D54F3">
        <w:rPr>
          <w:lang w:val="lt-LT"/>
        </w:rPr>
        <w:t>EUR/kg</w:t>
      </w:r>
      <w:r w:rsidR="006C77C9" w:rsidRPr="006D54F3">
        <w:rPr>
          <w:lang w:val="lt-LT"/>
        </w:rPr>
        <w:t xml:space="preserve"> </w:t>
      </w:r>
      <w:r w:rsidR="00774D25">
        <w:rPr>
          <w:lang w:val="lt-LT"/>
        </w:rPr>
        <w:t>mažesn</w:t>
      </w:r>
      <w:r w:rsidR="006C77C9" w:rsidRPr="006D54F3">
        <w:rPr>
          <w:lang w:val="lt-LT"/>
        </w:rPr>
        <w:t>ė, palyginti su Lietuvoje</w:t>
      </w:r>
      <w:r w:rsidR="00762DC4" w:rsidRPr="006D54F3">
        <w:rPr>
          <w:lang w:val="lt-LT"/>
        </w:rPr>
        <w:t xml:space="preserve"> </w:t>
      </w:r>
      <w:r w:rsidR="00213D26">
        <w:rPr>
          <w:lang w:val="lt-LT"/>
        </w:rPr>
        <w:t>buvusia</w:t>
      </w:r>
      <w:r w:rsidR="00762DC4" w:rsidRPr="006D54F3">
        <w:rPr>
          <w:lang w:val="lt-LT"/>
        </w:rPr>
        <w:t xml:space="preserve"> šio produkto kaina.</w:t>
      </w:r>
    </w:p>
    <w:p w14:paraId="6FA97259" w14:textId="77777777" w:rsidR="00ED3200" w:rsidRDefault="00ED3200" w:rsidP="00281E7B">
      <w:pPr>
        <w:spacing w:after="0" w:line="360" w:lineRule="auto"/>
        <w:ind w:firstLine="1134"/>
        <w:jc w:val="both"/>
        <w:rPr>
          <w:rFonts w:ascii="Times New Roman" w:hAnsi="Times New Roman"/>
          <w:sz w:val="24"/>
          <w:szCs w:val="24"/>
        </w:rPr>
      </w:pPr>
    </w:p>
    <w:p w14:paraId="5294A961" w14:textId="77777777" w:rsidR="001E1F1D" w:rsidRPr="00655EB8" w:rsidRDefault="00B0010B" w:rsidP="00281E7B">
      <w:pPr>
        <w:spacing w:after="0" w:line="360" w:lineRule="auto"/>
        <w:ind w:firstLine="1134"/>
        <w:jc w:val="both"/>
        <w:rPr>
          <w:rFonts w:ascii="Times New Roman" w:hAnsi="Times New Roman"/>
          <w:b/>
          <w:sz w:val="24"/>
          <w:szCs w:val="24"/>
        </w:rPr>
      </w:pPr>
      <w:r>
        <w:rPr>
          <w:rFonts w:ascii="Times New Roman" w:hAnsi="Times New Roman"/>
          <w:b/>
          <w:sz w:val="24"/>
          <w:szCs w:val="24"/>
        </w:rPr>
        <w:t>Vidutinė mažmeninė</w:t>
      </w:r>
      <w:r w:rsidR="00655EB8" w:rsidRPr="00655EB8">
        <w:rPr>
          <w:rFonts w:ascii="Times New Roman" w:hAnsi="Times New Roman"/>
          <w:b/>
          <w:sz w:val="24"/>
          <w:szCs w:val="24"/>
        </w:rPr>
        <w:t xml:space="preserve"> </w:t>
      </w:r>
      <w:r>
        <w:rPr>
          <w:rFonts w:ascii="Times New Roman" w:hAnsi="Times New Roman"/>
          <w:b/>
          <w:sz w:val="24"/>
          <w:szCs w:val="24"/>
        </w:rPr>
        <w:t>atvėsinto viščiuko broilerio kaina</w:t>
      </w:r>
      <w:r w:rsidR="00655EB8" w:rsidRPr="00655EB8">
        <w:rPr>
          <w:rFonts w:ascii="Times New Roman" w:hAnsi="Times New Roman"/>
          <w:b/>
          <w:sz w:val="24"/>
          <w:szCs w:val="24"/>
        </w:rPr>
        <w:t xml:space="preserve"> Lenkijoje, EUR/kg</w:t>
      </w:r>
    </w:p>
    <w:tbl>
      <w:tblPr>
        <w:tblW w:w="10345" w:type="dxa"/>
        <w:tblInd w:w="113" w:type="dxa"/>
        <w:tblLook w:val="04A0" w:firstRow="1" w:lastRow="0" w:firstColumn="1" w:lastColumn="0" w:noHBand="0" w:noVBand="1"/>
      </w:tblPr>
      <w:tblGrid>
        <w:gridCol w:w="2493"/>
        <w:gridCol w:w="1218"/>
        <w:gridCol w:w="1217"/>
        <w:gridCol w:w="1219"/>
        <w:gridCol w:w="1031"/>
        <w:gridCol w:w="1031"/>
        <w:gridCol w:w="1033"/>
        <w:gridCol w:w="1103"/>
      </w:tblGrid>
      <w:tr w:rsidR="00655EB8" w:rsidRPr="00655EB8" w14:paraId="5E67BC7C" w14:textId="77777777" w:rsidTr="00797EE2">
        <w:trPr>
          <w:trHeight w:val="270"/>
        </w:trPr>
        <w:tc>
          <w:tcPr>
            <w:tcW w:w="2493" w:type="dxa"/>
            <w:tcBorders>
              <w:top w:val="single" w:sz="4" w:space="0" w:color="BFBFBF"/>
              <w:left w:val="single" w:sz="4" w:space="0" w:color="BFBFBF"/>
              <w:bottom w:val="single" w:sz="4" w:space="0" w:color="BFBFBF"/>
              <w:right w:val="nil"/>
            </w:tcBorders>
            <w:shd w:val="clear" w:color="000000" w:fill="BFBFBF"/>
            <w:noWrap/>
            <w:vAlign w:val="bottom"/>
            <w:hideMark/>
          </w:tcPr>
          <w:p w14:paraId="2C32E18E" w14:textId="77777777" w:rsidR="00655EB8" w:rsidRPr="00655EB8" w:rsidRDefault="00655EB8" w:rsidP="00655EB8">
            <w:pPr>
              <w:spacing w:after="0" w:line="240" w:lineRule="auto"/>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 </w:t>
            </w:r>
          </w:p>
        </w:tc>
        <w:tc>
          <w:tcPr>
            <w:tcW w:w="3654" w:type="dxa"/>
            <w:gridSpan w:val="3"/>
            <w:tcBorders>
              <w:top w:val="single" w:sz="4" w:space="0" w:color="BFBFBF"/>
              <w:left w:val="single" w:sz="4" w:space="0" w:color="FFFFFF"/>
              <w:bottom w:val="single" w:sz="4" w:space="0" w:color="FFFFFF"/>
              <w:right w:val="single" w:sz="4" w:space="0" w:color="FFFFFF"/>
            </w:tcBorders>
            <w:shd w:val="clear" w:color="000000" w:fill="BFBFBF"/>
            <w:noWrap/>
            <w:vAlign w:val="bottom"/>
            <w:hideMark/>
          </w:tcPr>
          <w:p w14:paraId="3703CCF8"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2018 m.</w:t>
            </w:r>
          </w:p>
        </w:tc>
        <w:tc>
          <w:tcPr>
            <w:tcW w:w="3095" w:type="dxa"/>
            <w:gridSpan w:val="3"/>
            <w:tcBorders>
              <w:top w:val="nil"/>
              <w:left w:val="nil"/>
              <w:bottom w:val="single" w:sz="4" w:space="0" w:color="FFFFFF"/>
              <w:right w:val="single" w:sz="4" w:space="0" w:color="FFFFFF"/>
            </w:tcBorders>
            <w:shd w:val="clear" w:color="000000" w:fill="BFBFBF"/>
            <w:noWrap/>
            <w:vAlign w:val="bottom"/>
            <w:hideMark/>
          </w:tcPr>
          <w:p w14:paraId="27DB0B67"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2019 m.</w:t>
            </w:r>
          </w:p>
        </w:tc>
        <w:tc>
          <w:tcPr>
            <w:tcW w:w="1103" w:type="dxa"/>
            <w:tcBorders>
              <w:top w:val="single" w:sz="4" w:space="0" w:color="BFBFBF"/>
              <w:left w:val="single" w:sz="4" w:space="0" w:color="FFFFFF"/>
              <w:bottom w:val="single" w:sz="4" w:space="0" w:color="FFFFFF"/>
              <w:right w:val="nil"/>
            </w:tcBorders>
            <w:shd w:val="clear" w:color="000000" w:fill="BFBFBF"/>
            <w:noWrap/>
            <w:vAlign w:val="center"/>
            <w:hideMark/>
          </w:tcPr>
          <w:p w14:paraId="195148EF"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Pokytis %</w:t>
            </w:r>
          </w:p>
        </w:tc>
      </w:tr>
      <w:tr w:rsidR="00655EB8" w:rsidRPr="00655EB8" w14:paraId="5C8EB4F6" w14:textId="77777777" w:rsidTr="00797EE2">
        <w:trPr>
          <w:trHeight w:val="270"/>
        </w:trPr>
        <w:tc>
          <w:tcPr>
            <w:tcW w:w="2493" w:type="dxa"/>
            <w:tcBorders>
              <w:top w:val="nil"/>
              <w:left w:val="single" w:sz="4" w:space="0" w:color="BFBFBF"/>
              <w:bottom w:val="single" w:sz="4" w:space="0" w:color="BFBFBF"/>
              <w:right w:val="nil"/>
            </w:tcBorders>
            <w:shd w:val="clear" w:color="000000" w:fill="BFBFBF"/>
            <w:noWrap/>
            <w:vAlign w:val="bottom"/>
            <w:hideMark/>
          </w:tcPr>
          <w:p w14:paraId="4CB6BBB6" w14:textId="77777777" w:rsidR="00655EB8" w:rsidRPr="00655EB8" w:rsidRDefault="00655EB8" w:rsidP="00655EB8">
            <w:pPr>
              <w:spacing w:after="0" w:line="240" w:lineRule="auto"/>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 </w:t>
            </w:r>
          </w:p>
        </w:tc>
        <w:tc>
          <w:tcPr>
            <w:tcW w:w="1218" w:type="dxa"/>
            <w:tcBorders>
              <w:top w:val="nil"/>
              <w:left w:val="single" w:sz="4" w:space="0" w:color="FFFFFF"/>
              <w:bottom w:val="single" w:sz="4" w:space="0" w:color="BFBFBF"/>
              <w:right w:val="single" w:sz="4" w:space="0" w:color="FFFFFF"/>
            </w:tcBorders>
            <w:shd w:val="clear" w:color="000000" w:fill="BFBFBF"/>
            <w:noWrap/>
            <w:vAlign w:val="bottom"/>
            <w:hideMark/>
          </w:tcPr>
          <w:p w14:paraId="194C06B7"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10 mėn.</w:t>
            </w:r>
          </w:p>
        </w:tc>
        <w:tc>
          <w:tcPr>
            <w:tcW w:w="1217" w:type="dxa"/>
            <w:tcBorders>
              <w:top w:val="nil"/>
              <w:left w:val="nil"/>
              <w:bottom w:val="single" w:sz="4" w:space="0" w:color="BFBFBF"/>
              <w:right w:val="single" w:sz="4" w:space="0" w:color="FFFFFF"/>
            </w:tcBorders>
            <w:shd w:val="clear" w:color="000000" w:fill="BFBFBF"/>
            <w:noWrap/>
            <w:vAlign w:val="bottom"/>
            <w:hideMark/>
          </w:tcPr>
          <w:p w14:paraId="14AA6CE8"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11 mėn.</w:t>
            </w:r>
          </w:p>
        </w:tc>
        <w:tc>
          <w:tcPr>
            <w:tcW w:w="1217" w:type="dxa"/>
            <w:tcBorders>
              <w:top w:val="nil"/>
              <w:left w:val="nil"/>
              <w:bottom w:val="single" w:sz="4" w:space="0" w:color="BFBFBF"/>
              <w:right w:val="single" w:sz="4" w:space="0" w:color="FFFFFF"/>
            </w:tcBorders>
            <w:shd w:val="clear" w:color="000000" w:fill="BFBFBF"/>
            <w:noWrap/>
            <w:vAlign w:val="bottom"/>
            <w:hideMark/>
          </w:tcPr>
          <w:p w14:paraId="6920AC43"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12 mėn.</w:t>
            </w:r>
          </w:p>
        </w:tc>
        <w:tc>
          <w:tcPr>
            <w:tcW w:w="1031" w:type="dxa"/>
            <w:tcBorders>
              <w:top w:val="nil"/>
              <w:left w:val="nil"/>
              <w:bottom w:val="single" w:sz="4" w:space="0" w:color="BFBFBF"/>
              <w:right w:val="single" w:sz="4" w:space="0" w:color="FFFFFF"/>
            </w:tcBorders>
            <w:shd w:val="clear" w:color="000000" w:fill="BFBFBF"/>
            <w:noWrap/>
            <w:vAlign w:val="bottom"/>
            <w:hideMark/>
          </w:tcPr>
          <w:p w14:paraId="257D7815"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1 mėn.</w:t>
            </w:r>
          </w:p>
        </w:tc>
        <w:tc>
          <w:tcPr>
            <w:tcW w:w="1031" w:type="dxa"/>
            <w:tcBorders>
              <w:top w:val="nil"/>
              <w:left w:val="nil"/>
              <w:bottom w:val="single" w:sz="4" w:space="0" w:color="BFBFBF"/>
              <w:right w:val="single" w:sz="4" w:space="0" w:color="FFFFFF"/>
            </w:tcBorders>
            <w:shd w:val="clear" w:color="000000" w:fill="BFBFBF"/>
            <w:noWrap/>
            <w:vAlign w:val="bottom"/>
            <w:hideMark/>
          </w:tcPr>
          <w:p w14:paraId="59748D20"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2 mėn.</w:t>
            </w:r>
          </w:p>
        </w:tc>
        <w:tc>
          <w:tcPr>
            <w:tcW w:w="1031" w:type="dxa"/>
            <w:tcBorders>
              <w:top w:val="nil"/>
              <w:left w:val="nil"/>
              <w:bottom w:val="single" w:sz="4" w:space="0" w:color="BFBFBF"/>
              <w:right w:val="nil"/>
            </w:tcBorders>
            <w:shd w:val="clear" w:color="000000" w:fill="BFBFBF"/>
            <w:noWrap/>
            <w:vAlign w:val="bottom"/>
            <w:hideMark/>
          </w:tcPr>
          <w:p w14:paraId="6756FA1C" w14:textId="77777777" w:rsidR="00655EB8" w:rsidRPr="00655EB8" w:rsidRDefault="00655EB8" w:rsidP="00655EB8">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3 mėn.</w:t>
            </w:r>
          </w:p>
        </w:tc>
        <w:tc>
          <w:tcPr>
            <w:tcW w:w="1103" w:type="dxa"/>
            <w:tcBorders>
              <w:top w:val="nil"/>
              <w:left w:val="single" w:sz="4" w:space="0" w:color="FFFFFF"/>
              <w:bottom w:val="nil"/>
              <w:right w:val="nil"/>
            </w:tcBorders>
            <w:shd w:val="clear" w:color="000000" w:fill="BFBFBF"/>
            <w:noWrap/>
            <w:vAlign w:val="bottom"/>
            <w:hideMark/>
          </w:tcPr>
          <w:p w14:paraId="0EC5FD2F" w14:textId="77777777" w:rsidR="00655EB8" w:rsidRPr="00655EB8" w:rsidRDefault="00655EB8" w:rsidP="00F5052F">
            <w:pPr>
              <w:spacing w:after="0" w:line="240" w:lineRule="auto"/>
              <w:jc w:val="center"/>
              <w:rPr>
                <w:rFonts w:ascii="Times New Roman" w:eastAsia="Times New Roman" w:hAnsi="Times New Roman"/>
                <w:color w:val="000000"/>
                <w:sz w:val="20"/>
                <w:szCs w:val="20"/>
                <w:lang w:eastAsia="lt-LT"/>
              </w:rPr>
            </w:pPr>
            <w:r w:rsidRPr="00655EB8">
              <w:rPr>
                <w:rFonts w:ascii="Times New Roman" w:eastAsia="Times New Roman" w:hAnsi="Times New Roman"/>
                <w:color w:val="000000"/>
                <w:sz w:val="20"/>
                <w:szCs w:val="20"/>
                <w:lang w:eastAsia="lt-LT"/>
              </w:rPr>
              <w:t>ketvirčio</w:t>
            </w:r>
          </w:p>
        </w:tc>
      </w:tr>
      <w:tr w:rsidR="00655EB8" w:rsidRPr="00655EB8" w14:paraId="67C0D59F" w14:textId="77777777" w:rsidTr="00797EE2">
        <w:trPr>
          <w:trHeight w:val="270"/>
        </w:trPr>
        <w:tc>
          <w:tcPr>
            <w:tcW w:w="2493" w:type="dxa"/>
            <w:tcBorders>
              <w:top w:val="nil"/>
              <w:left w:val="single" w:sz="4" w:space="0" w:color="BFBFBF"/>
              <w:bottom w:val="single" w:sz="4" w:space="0" w:color="BFBFBF"/>
              <w:right w:val="nil"/>
            </w:tcBorders>
            <w:shd w:val="clear" w:color="auto" w:fill="auto"/>
            <w:noWrap/>
            <w:vAlign w:val="bottom"/>
            <w:hideMark/>
          </w:tcPr>
          <w:p w14:paraId="69C126BE" w14:textId="77777777" w:rsidR="00655EB8" w:rsidRPr="00655EB8" w:rsidRDefault="00B0010B" w:rsidP="00655EB8">
            <w:pPr>
              <w:spacing w:after="0"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Atvėsintas viščiukas broileris</w:t>
            </w:r>
          </w:p>
        </w:tc>
        <w:tc>
          <w:tcPr>
            <w:tcW w:w="1218" w:type="dxa"/>
            <w:tcBorders>
              <w:top w:val="nil"/>
              <w:left w:val="single" w:sz="4" w:space="0" w:color="BFBFBF"/>
              <w:bottom w:val="single" w:sz="4" w:space="0" w:color="BFBFBF"/>
              <w:right w:val="nil"/>
            </w:tcBorders>
            <w:shd w:val="clear" w:color="auto" w:fill="auto"/>
            <w:noWrap/>
            <w:vAlign w:val="bottom"/>
            <w:hideMark/>
          </w:tcPr>
          <w:p w14:paraId="31F83E03"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1,68</w:t>
            </w:r>
          </w:p>
        </w:tc>
        <w:tc>
          <w:tcPr>
            <w:tcW w:w="1217" w:type="dxa"/>
            <w:tcBorders>
              <w:top w:val="nil"/>
              <w:left w:val="nil"/>
              <w:bottom w:val="single" w:sz="4" w:space="0" w:color="BFBFBF"/>
              <w:right w:val="nil"/>
            </w:tcBorders>
            <w:shd w:val="clear" w:color="auto" w:fill="auto"/>
            <w:noWrap/>
            <w:vAlign w:val="bottom"/>
            <w:hideMark/>
          </w:tcPr>
          <w:p w14:paraId="1B6FBDA7"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1,66</w:t>
            </w:r>
          </w:p>
        </w:tc>
        <w:tc>
          <w:tcPr>
            <w:tcW w:w="1217" w:type="dxa"/>
            <w:tcBorders>
              <w:top w:val="nil"/>
              <w:left w:val="nil"/>
              <w:bottom w:val="single" w:sz="4" w:space="0" w:color="BFBFBF"/>
              <w:right w:val="nil"/>
            </w:tcBorders>
            <w:shd w:val="clear" w:color="auto" w:fill="auto"/>
            <w:noWrap/>
            <w:vAlign w:val="bottom"/>
            <w:hideMark/>
          </w:tcPr>
          <w:p w14:paraId="28CB6ADD"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1,61</w:t>
            </w:r>
          </w:p>
        </w:tc>
        <w:tc>
          <w:tcPr>
            <w:tcW w:w="1031" w:type="dxa"/>
            <w:tcBorders>
              <w:top w:val="nil"/>
              <w:left w:val="nil"/>
              <w:bottom w:val="single" w:sz="4" w:space="0" w:color="BFBFBF"/>
              <w:right w:val="nil"/>
            </w:tcBorders>
            <w:shd w:val="clear" w:color="auto" w:fill="auto"/>
            <w:noWrap/>
            <w:vAlign w:val="bottom"/>
            <w:hideMark/>
          </w:tcPr>
          <w:p w14:paraId="1ECF66CC"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1,61</w:t>
            </w:r>
          </w:p>
        </w:tc>
        <w:tc>
          <w:tcPr>
            <w:tcW w:w="1031" w:type="dxa"/>
            <w:tcBorders>
              <w:top w:val="nil"/>
              <w:left w:val="nil"/>
              <w:bottom w:val="single" w:sz="4" w:space="0" w:color="BFBFBF"/>
              <w:right w:val="nil"/>
            </w:tcBorders>
            <w:shd w:val="clear" w:color="auto" w:fill="auto"/>
            <w:noWrap/>
            <w:vAlign w:val="bottom"/>
            <w:hideMark/>
          </w:tcPr>
          <w:p w14:paraId="15A750AA"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1,63</w:t>
            </w:r>
          </w:p>
        </w:tc>
        <w:tc>
          <w:tcPr>
            <w:tcW w:w="1031" w:type="dxa"/>
            <w:tcBorders>
              <w:top w:val="nil"/>
              <w:left w:val="nil"/>
              <w:bottom w:val="single" w:sz="4" w:space="0" w:color="BFBFBF"/>
              <w:right w:val="single" w:sz="4" w:space="0" w:color="BFBFBF"/>
            </w:tcBorders>
            <w:shd w:val="clear" w:color="auto" w:fill="auto"/>
            <w:noWrap/>
            <w:vAlign w:val="bottom"/>
            <w:hideMark/>
          </w:tcPr>
          <w:p w14:paraId="4ECE5835" w14:textId="77777777" w:rsidR="00655EB8" w:rsidRPr="00655EB8" w:rsidRDefault="00B0010B"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1,74</w:t>
            </w:r>
          </w:p>
        </w:tc>
        <w:tc>
          <w:tcPr>
            <w:tcW w:w="1103" w:type="dxa"/>
            <w:tcBorders>
              <w:top w:val="nil"/>
              <w:left w:val="nil"/>
              <w:bottom w:val="nil"/>
              <w:right w:val="single" w:sz="4" w:space="0" w:color="BFBFBF"/>
            </w:tcBorders>
            <w:shd w:val="clear" w:color="auto" w:fill="auto"/>
            <w:noWrap/>
            <w:vAlign w:val="bottom"/>
            <w:hideMark/>
          </w:tcPr>
          <w:p w14:paraId="5D1AC9E9" w14:textId="77777777" w:rsidR="00655EB8" w:rsidRPr="00655EB8" w:rsidRDefault="006D54F3" w:rsidP="00797EE2">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r w:rsidR="00B0010B">
              <w:rPr>
                <w:rFonts w:ascii="Times New Roman" w:eastAsia="Times New Roman" w:hAnsi="Times New Roman"/>
                <w:color w:val="000000"/>
                <w:sz w:val="20"/>
                <w:szCs w:val="20"/>
                <w:lang w:eastAsia="lt-LT"/>
              </w:rPr>
              <w:t>0,61</w:t>
            </w:r>
          </w:p>
        </w:tc>
      </w:tr>
      <w:tr w:rsidR="00655EB8" w:rsidRPr="00655EB8" w14:paraId="69A42A21" w14:textId="77777777" w:rsidTr="00797EE2">
        <w:trPr>
          <w:trHeight w:val="91"/>
        </w:trPr>
        <w:tc>
          <w:tcPr>
            <w:tcW w:w="2493" w:type="dxa"/>
            <w:tcBorders>
              <w:top w:val="nil"/>
              <w:left w:val="nil"/>
              <w:bottom w:val="nil"/>
              <w:right w:val="nil"/>
            </w:tcBorders>
            <w:shd w:val="clear" w:color="000000" w:fill="BFBFBF"/>
            <w:noWrap/>
            <w:vAlign w:val="bottom"/>
            <w:hideMark/>
          </w:tcPr>
          <w:p w14:paraId="6BD016C4"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218" w:type="dxa"/>
            <w:tcBorders>
              <w:top w:val="nil"/>
              <w:left w:val="nil"/>
              <w:bottom w:val="nil"/>
              <w:right w:val="nil"/>
            </w:tcBorders>
            <w:shd w:val="clear" w:color="000000" w:fill="BFBFBF"/>
            <w:noWrap/>
            <w:vAlign w:val="bottom"/>
            <w:hideMark/>
          </w:tcPr>
          <w:p w14:paraId="29064D86"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217" w:type="dxa"/>
            <w:tcBorders>
              <w:top w:val="nil"/>
              <w:left w:val="nil"/>
              <w:bottom w:val="nil"/>
              <w:right w:val="nil"/>
            </w:tcBorders>
            <w:shd w:val="clear" w:color="000000" w:fill="BFBFBF"/>
            <w:noWrap/>
            <w:vAlign w:val="bottom"/>
            <w:hideMark/>
          </w:tcPr>
          <w:p w14:paraId="71D8CBF1"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217" w:type="dxa"/>
            <w:tcBorders>
              <w:top w:val="nil"/>
              <w:left w:val="nil"/>
              <w:bottom w:val="nil"/>
              <w:right w:val="nil"/>
            </w:tcBorders>
            <w:shd w:val="clear" w:color="000000" w:fill="BFBFBF"/>
            <w:noWrap/>
            <w:vAlign w:val="bottom"/>
            <w:hideMark/>
          </w:tcPr>
          <w:p w14:paraId="2514DA95"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031" w:type="dxa"/>
            <w:tcBorders>
              <w:top w:val="nil"/>
              <w:left w:val="nil"/>
              <w:bottom w:val="nil"/>
              <w:right w:val="nil"/>
            </w:tcBorders>
            <w:shd w:val="clear" w:color="000000" w:fill="BFBFBF"/>
            <w:noWrap/>
            <w:vAlign w:val="bottom"/>
            <w:hideMark/>
          </w:tcPr>
          <w:p w14:paraId="2C124DB0"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031" w:type="dxa"/>
            <w:tcBorders>
              <w:top w:val="nil"/>
              <w:left w:val="nil"/>
              <w:bottom w:val="nil"/>
              <w:right w:val="nil"/>
            </w:tcBorders>
            <w:shd w:val="clear" w:color="000000" w:fill="BFBFBF"/>
            <w:noWrap/>
            <w:vAlign w:val="bottom"/>
            <w:hideMark/>
          </w:tcPr>
          <w:p w14:paraId="553B1E52"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031" w:type="dxa"/>
            <w:tcBorders>
              <w:top w:val="nil"/>
              <w:left w:val="nil"/>
              <w:bottom w:val="nil"/>
              <w:right w:val="nil"/>
            </w:tcBorders>
            <w:shd w:val="clear" w:color="000000" w:fill="BFBFBF"/>
            <w:noWrap/>
            <w:vAlign w:val="bottom"/>
            <w:hideMark/>
          </w:tcPr>
          <w:p w14:paraId="58071145"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c>
          <w:tcPr>
            <w:tcW w:w="1103" w:type="dxa"/>
            <w:tcBorders>
              <w:top w:val="nil"/>
              <w:left w:val="nil"/>
              <w:bottom w:val="nil"/>
              <w:right w:val="nil"/>
            </w:tcBorders>
            <w:shd w:val="clear" w:color="000000" w:fill="BFBFBF"/>
            <w:noWrap/>
            <w:vAlign w:val="bottom"/>
            <w:hideMark/>
          </w:tcPr>
          <w:p w14:paraId="222E69F9" w14:textId="77777777" w:rsidR="00655EB8" w:rsidRPr="00655EB8" w:rsidRDefault="00655EB8" w:rsidP="00655EB8">
            <w:pPr>
              <w:spacing w:after="0" w:line="240" w:lineRule="auto"/>
              <w:rPr>
                <w:rFonts w:eastAsia="Times New Roman" w:cs="Calibri"/>
                <w:color w:val="000000"/>
                <w:lang w:eastAsia="lt-LT"/>
              </w:rPr>
            </w:pPr>
            <w:r w:rsidRPr="00655EB8">
              <w:rPr>
                <w:rFonts w:eastAsia="Times New Roman" w:cs="Calibri"/>
                <w:color w:val="000000"/>
                <w:lang w:eastAsia="lt-LT"/>
              </w:rPr>
              <w:t> </w:t>
            </w:r>
          </w:p>
        </w:tc>
      </w:tr>
    </w:tbl>
    <w:p w14:paraId="59F1286D" w14:textId="77777777" w:rsidR="007761BE" w:rsidRDefault="007761BE" w:rsidP="007761BE">
      <w:pPr>
        <w:rPr>
          <w:rFonts w:ascii="Times New Roman" w:hAnsi="Times New Roman"/>
          <w:sz w:val="20"/>
          <w:szCs w:val="20"/>
        </w:rPr>
      </w:pPr>
      <w:r w:rsidRPr="007761BE">
        <w:rPr>
          <w:rFonts w:ascii="Times New Roman" w:hAnsi="Times New Roman"/>
          <w:sz w:val="20"/>
          <w:szCs w:val="20"/>
        </w:rPr>
        <w:t>*lyginant 2019 m. I ketvirtį su 2018 m. IV ketvirčiu</w:t>
      </w:r>
    </w:p>
    <w:p w14:paraId="13A8C1C8" w14:textId="77777777" w:rsidR="001E1F1D" w:rsidRPr="00E8436C" w:rsidRDefault="00E8436C" w:rsidP="00E8436C">
      <w:pPr>
        <w:spacing w:after="0" w:line="360" w:lineRule="auto"/>
        <w:ind w:firstLine="1134"/>
        <w:jc w:val="right"/>
        <w:rPr>
          <w:rFonts w:ascii="Times New Roman" w:hAnsi="Times New Roman"/>
          <w:sz w:val="20"/>
          <w:szCs w:val="20"/>
        </w:rPr>
      </w:pPr>
      <w:r w:rsidRPr="00E8436C">
        <w:rPr>
          <w:rFonts w:ascii="Times New Roman" w:hAnsi="Times New Roman"/>
          <w:sz w:val="20"/>
          <w:szCs w:val="20"/>
        </w:rPr>
        <w:t xml:space="preserve">Šaltinis: </w:t>
      </w:r>
      <w:r w:rsidRPr="00865613">
        <w:rPr>
          <w:rFonts w:ascii="Times New Roman" w:hAnsi="Times New Roman"/>
          <w:i/>
          <w:sz w:val="20"/>
          <w:szCs w:val="20"/>
        </w:rPr>
        <w:t>Statistics Poland</w:t>
      </w:r>
    </w:p>
    <w:p w14:paraId="4C1EC383" w14:textId="77777777" w:rsidR="00192EA1" w:rsidRDefault="00192EA1" w:rsidP="00281E7B">
      <w:pPr>
        <w:spacing w:after="0" w:line="360" w:lineRule="auto"/>
        <w:ind w:firstLine="1134"/>
        <w:jc w:val="both"/>
        <w:rPr>
          <w:rFonts w:ascii="Times New Roman" w:hAnsi="Times New Roman"/>
          <w:sz w:val="24"/>
          <w:szCs w:val="24"/>
        </w:rPr>
      </w:pPr>
    </w:p>
    <w:p w14:paraId="533F58B9" w14:textId="77777777" w:rsidR="009418A4" w:rsidRPr="00192EA1" w:rsidRDefault="00192EA1" w:rsidP="00861FFD">
      <w:pPr>
        <w:spacing w:after="0" w:line="360" w:lineRule="auto"/>
        <w:ind w:firstLine="851"/>
        <w:jc w:val="both"/>
        <w:rPr>
          <w:rFonts w:ascii="Times New Roman" w:hAnsi="Times New Roman"/>
          <w:sz w:val="24"/>
          <w:szCs w:val="24"/>
        </w:rPr>
      </w:pPr>
      <w:r w:rsidRPr="00192EA1">
        <w:rPr>
          <w:rFonts w:ascii="Times New Roman" w:hAnsi="Times New Roman"/>
          <w:sz w:val="24"/>
          <w:szCs w:val="24"/>
        </w:rPr>
        <w:t>Lyginant v</w:t>
      </w:r>
      <w:r>
        <w:rPr>
          <w:rFonts w:ascii="Times New Roman" w:hAnsi="Times New Roman"/>
          <w:sz w:val="24"/>
          <w:szCs w:val="24"/>
        </w:rPr>
        <w:t xml:space="preserve">idutines mažmenines </w:t>
      </w:r>
      <w:r w:rsidR="00D02161">
        <w:rPr>
          <w:rFonts w:ascii="Times New Roman" w:hAnsi="Times New Roman"/>
          <w:sz w:val="24"/>
          <w:szCs w:val="24"/>
        </w:rPr>
        <w:t>atvėsinto viščiuko broilerio</w:t>
      </w:r>
      <w:r>
        <w:rPr>
          <w:rFonts w:ascii="Times New Roman" w:hAnsi="Times New Roman"/>
          <w:sz w:val="24"/>
          <w:szCs w:val="24"/>
        </w:rPr>
        <w:t xml:space="preserve"> kainas Lietuvos sostinėje su kai kurių</w:t>
      </w:r>
      <w:r w:rsidR="006448FE">
        <w:rPr>
          <w:rFonts w:ascii="Times New Roman" w:hAnsi="Times New Roman"/>
          <w:sz w:val="24"/>
          <w:szCs w:val="24"/>
        </w:rPr>
        <w:t xml:space="preserve"> </w:t>
      </w:r>
      <w:r>
        <w:rPr>
          <w:rFonts w:ascii="Times New Roman" w:hAnsi="Times New Roman"/>
          <w:sz w:val="24"/>
          <w:szCs w:val="24"/>
        </w:rPr>
        <w:t xml:space="preserve"> </w:t>
      </w:r>
      <w:r w:rsidR="006448FE">
        <w:rPr>
          <w:rFonts w:ascii="Times New Roman" w:hAnsi="Times New Roman"/>
          <w:sz w:val="24"/>
          <w:szCs w:val="24"/>
        </w:rPr>
        <w:t xml:space="preserve">kitų </w:t>
      </w:r>
      <w:r>
        <w:rPr>
          <w:rFonts w:ascii="Times New Roman" w:hAnsi="Times New Roman"/>
          <w:sz w:val="24"/>
          <w:szCs w:val="24"/>
        </w:rPr>
        <w:t xml:space="preserve">ES šalių sostinėse esančiomis kainomis, Vilniuje šio produkto kaina buvo </w:t>
      </w:r>
      <w:r w:rsidR="00DC0B90">
        <w:rPr>
          <w:rFonts w:ascii="Times New Roman" w:hAnsi="Times New Roman"/>
          <w:sz w:val="24"/>
          <w:szCs w:val="24"/>
        </w:rPr>
        <w:t>aukštesnė</w:t>
      </w:r>
      <w:r w:rsidR="00D02161">
        <w:rPr>
          <w:rFonts w:ascii="Times New Roman" w:hAnsi="Times New Roman"/>
          <w:sz w:val="24"/>
          <w:szCs w:val="24"/>
        </w:rPr>
        <w:t xml:space="preserve"> nei Budapešte, tačiau </w:t>
      </w:r>
      <w:r w:rsidR="00DC0B90">
        <w:rPr>
          <w:rFonts w:ascii="Times New Roman" w:hAnsi="Times New Roman"/>
          <w:sz w:val="24"/>
          <w:szCs w:val="24"/>
        </w:rPr>
        <w:t>žemesnė</w:t>
      </w:r>
      <w:r w:rsidR="00D02161">
        <w:rPr>
          <w:rFonts w:ascii="Times New Roman" w:hAnsi="Times New Roman"/>
          <w:sz w:val="24"/>
          <w:szCs w:val="24"/>
        </w:rPr>
        <w:t xml:space="preserve"> nei </w:t>
      </w:r>
      <w:r>
        <w:rPr>
          <w:rFonts w:ascii="Times New Roman" w:hAnsi="Times New Roman"/>
          <w:sz w:val="24"/>
          <w:szCs w:val="24"/>
        </w:rPr>
        <w:t>Rygoje</w:t>
      </w:r>
      <w:r w:rsidR="00D02161">
        <w:rPr>
          <w:rFonts w:ascii="Times New Roman" w:hAnsi="Times New Roman"/>
          <w:sz w:val="24"/>
          <w:szCs w:val="24"/>
        </w:rPr>
        <w:t xml:space="preserve"> ir Prahoje</w:t>
      </w:r>
      <w:r>
        <w:rPr>
          <w:rFonts w:ascii="Times New Roman" w:hAnsi="Times New Roman"/>
          <w:sz w:val="24"/>
          <w:szCs w:val="24"/>
        </w:rPr>
        <w:t>.</w:t>
      </w:r>
    </w:p>
    <w:p w14:paraId="403B8CC5" w14:textId="77777777" w:rsidR="009418A4" w:rsidRDefault="009418A4" w:rsidP="00281E7B">
      <w:pPr>
        <w:spacing w:after="0" w:line="360" w:lineRule="auto"/>
        <w:ind w:firstLine="1134"/>
        <w:jc w:val="both"/>
        <w:rPr>
          <w:rFonts w:ascii="Times New Roman" w:hAnsi="Times New Roman"/>
          <w:b/>
          <w:sz w:val="24"/>
          <w:szCs w:val="24"/>
        </w:rPr>
      </w:pPr>
    </w:p>
    <w:p w14:paraId="47943A0E" w14:textId="77777777" w:rsidR="001E1F1D" w:rsidRPr="006D54F3" w:rsidRDefault="00914CD1" w:rsidP="00281E7B">
      <w:pPr>
        <w:spacing w:after="0" w:line="360" w:lineRule="auto"/>
        <w:ind w:firstLine="1134"/>
        <w:jc w:val="both"/>
        <w:rPr>
          <w:rFonts w:ascii="Times New Roman" w:hAnsi="Times New Roman"/>
          <w:b/>
          <w:sz w:val="24"/>
          <w:szCs w:val="24"/>
        </w:rPr>
      </w:pPr>
      <w:r>
        <w:rPr>
          <w:rFonts w:ascii="Times New Roman" w:hAnsi="Times New Roman"/>
          <w:b/>
          <w:sz w:val="24"/>
          <w:szCs w:val="24"/>
        </w:rPr>
        <w:t>Mažmeninės</w:t>
      </w:r>
      <w:r w:rsidR="006D54F3" w:rsidRPr="006D54F3">
        <w:rPr>
          <w:rFonts w:ascii="Times New Roman" w:hAnsi="Times New Roman"/>
          <w:b/>
          <w:sz w:val="24"/>
          <w:szCs w:val="24"/>
        </w:rPr>
        <w:t xml:space="preserve"> </w:t>
      </w:r>
      <w:r>
        <w:rPr>
          <w:rFonts w:ascii="Times New Roman" w:hAnsi="Times New Roman"/>
          <w:b/>
          <w:sz w:val="24"/>
          <w:szCs w:val="24"/>
        </w:rPr>
        <w:t>atvėsinto viščiuko broilerio</w:t>
      </w:r>
      <w:r w:rsidR="006D54F3" w:rsidRPr="006D54F3">
        <w:rPr>
          <w:rFonts w:ascii="Times New Roman" w:hAnsi="Times New Roman"/>
          <w:b/>
          <w:sz w:val="24"/>
          <w:szCs w:val="24"/>
        </w:rPr>
        <w:t xml:space="preserve"> kainos kai kuriose ES šalių sostinėse, EUR/kg</w:t>
      </w:r>
    </w:p>
    <w:tbl>
      <w:tblPr>
        <w:tblW w:w="10502" w:type="dxa"/>
        <w:tblInd w:w="113" w:type="dxa"/>
        <w:tblLook w:val="04A0" w:firstRow="1" w:lastRow="0" w:firstColumn="1" w:lastColumn="0" w:noHBand="0" w:noVBand="1"/>
      </w:tblPr>
      <w:tblGrid>
        <w:gridCol w:w="1540"/>
        <w:gridCol w:w="566"/>
        <w:gridCol w:w="566"/>
        <w:gridCol w:w="566"/>
        <w:gridCol w:w="566"/>
        <w:gridCol w:w="595"/>
        <w:gridCol w:w="595"/>
        <w:gridCol w:w="595"/>
        <w:gridCol w:w="595"/>
        <w:gridCol w:w="566"/>
        <w:gridCol w:w="566"/>
        <w:gridCol w:w="566"/>
        <w:gridCol w:w="616"/>
        <w:gridCol w:w="666"/>
        <w:gridCol w:w="348"/>
        <w:gridCol w:w="990"/>
      </w:tblGrid>
      <w:tr w:rsidR="009418A4" w:rsidRPr="009418A4" w14:paraId="0C53FC53" w14:textId="77777777" w:rsidTr="00DE5D4D">
        <w:trPr>
          <w:trHeight w:val="390"/>
        </w:trPr>
        <w:tc>
          <w:tcPr>
            <w:tcW w:w="1540" w:type="dxa"/>
            <w:tcBorders>
              <w:top w:val="single" w:sz="4" w:space="0" w:color="BFBFBF"/>
              <w:left w:val="single" w:sz="4" w:space="0" w:color="BFBFBF"/>
              <w:bottom w:val="single" w:sz="4" w:space="0" w:color="BFBFBF"/>
              <w:right w:val="nil"/>
            </w:tcBorders>
            <w:shd w:val="clear" w:color="000000" w:fill="BFBFBF"/>
            <w:noWrap/>
            <w:vAlign w:val="bottom"/>
            <w:hideMark/>
          </w:tcPr>
          <w:p w14:paraId="1C8418C9"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 </w:t>
            </w:r>
          </w:p>
        </w:tc>
        <w:tc>
          <w:tcPr>
            <w:tcW w:w="2264" w:type="dxa"/>
            <w:gridSpan w:val="4"/>
            <w:tcBorders>
              <w:top w:val="single" w:sz="4" w:space="0" w:color="BFBFBF"/>
              <w:left w:val="single" w:sz="4" w:space="0" w:color="FFFFFF"/>
              <w:bottom w:val="single" w:sz="4" w:space="0" w:color="FFFFFF"/>
              <w:right w:val="single" w:sz="4" w:space="0" w:color="FFFFFF"/>
            </w:tcBorders>
            <w:shd w:val="clear" w:color="000000" w:fill="BFBFBF"/>
            <w:vAlign w:val="bottom"/>
            <w:hideMark/>
          </w:tcPr>
          <w:p w14:paraId="12B78780"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2016</w:t>
            </w:r>
          </w:p>
        </w:tc>
        <w:tc>
          <w:tcPr>
            <w:tcW w:w="2380" w:type="dxa"/>
            <w:gridSpan w:val="4"/>
            <w:tcBorders>
              <w:top w:val="single" w:sz="4" w:space="0" w:color="BFBFBF"/>
              <w:left w:val="nil"/>
              <w:bottom w:val="single" w:sz="4" w:space="0" w:color="FFFFFF"/>
              <w:right w:val="single" w:sz="4" w:space="0" w:color="FFFFFF"/>
            </w:tcBorders>
            <w:shd w:val="clear" w:color="000000" w:fill="BFBFBF"/>
            <w:vAlign w:val="bottom"/>
            <w:hideMark/>
          </w:tcPr>
          <w:p w14:paraId="25D600FC"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2017</w:t>
            </w:r>
          </w:p>
        </w:tc>
        <w:tc>
          <w:tcPr>
            <w:tcW w:w="1698" w:type="dxa"/>
            <w:gridSpan w:val="3"/>
            <w:tcBorders>
              <w:top w:val="single" w:sz="4" w:space="0" w:color="BFBFBF"/>
              <w:left w:val="nil"/>
              <w:bottom w:val="single" w:sz="4" w:space="0" w:color="FFFFFF"/>
              <w:right w:val="single" w:sz="4" w:space="0" w:color="FFFFFF"/>
            </w:tcBorders>
            <w:shd w:val="clear" w:color="000000" w:fill="BFBFBF"/>
            <w:noWrap/>
            <w:vAlign w:val="bottom"/>
            <w:hideMark/>
          </w:tcPr>
          <w:p w14:paraId="1DF081F7"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2018</w:t>
            </w:r>
          </w:p>
        </w:tc>
        <w:tc>
          <w:tcPr>
            <w:tcW w:w="616" w:type="dxa"/>
            <w:tcBorders>
              <w:top w:val="single" w:sz="4" w:space="0" w:color="BFBFBF"/>
              <w:left w:val="nil"/>
              <w:bottom w:val="nil"/>
              <w:right w:val="nil"/>
            </w:tcBorders>
            <w:shd w:val="clear" w:color="000000" w:fill="BFBFBF"/>
            <w:noWrap/>
            <w:vAlign w:val="bottom"/>
            <w:hideMark/>
          </w:tcPr>
          <w:p w14:paraId="2EB69FF9"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2019</w:t>
            </w:r>
          </w:p>
        </w:tc>
        <w:tc>
          <w:tcPr>
            <w:tcW w:w="2004" w:type="dxa"/>
            <w:gridSpan w:val="3"/>
            <w:tcBorders>
              <w:top w:val="single" w:sz="4" w:space="0" w:color="BFBFBF"/>
              <w:left w:val="single" w:sz="4" w:space="0" w:color="FFFFFF"/>
              <w:bottom w:val="single" w:sz="4" w:space="0" w:color="FFFFFF"/>
              <w:right w:val="single" w:sz="4" w:space="0" w:color="BFBFBF"/>
            </w:tcBorders>
            <w:shd w:val="clear" w:color="000000" w:fill="BFBFBF"/>
            <w:noWrap/>
            <w:vAlign w:val="bottom"/>
            <w:hideMark/>
          </w:tcPr>
          <w:p w14:paraId="2F23D29F"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Pokytis %</w:t>
            </w:r>
          </w:p>
        </w:tc>
      </w:tr>
      <w:tr w:rsidR="009418A4" w:rsidRPr="009418A4" w14:paraId="1D699124" w14:textId="77777777" w:rsidTr="00CF6CE3">
        <w:trPr>
          <w:trHeight w:val="885"/>
        </w:trPr>
        <w:tc>
          <w:tcPr>
            <w:tcW w:w="1540" w:type="dxa"/>
            <w:tcBorders>
              <w:top w:val="nil"/>
              <w:left w:val="single" w:sz="4" w:space="0" w:color="BFBFBF"/>
              <w:bottom w:val="single" w:sz="4" w:space="0" w:color="BFBFBF"/>
              <w:right w:val="nil"/>
            </w:tcBorders>
            <w:shd w:val="clear" w:color="000000" w:fill="BFBFBF"/>
            <w:noWrap/>
            <w:vAlign w:val="bottom"/>
            <w:hideMark/>
          </w:tcPr>
          <w:p w14:paraId="0D03B879"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 </w:t>
            </w:r>
          </w:p>
        </w:tc>
        <w:tc>
          <w:tcPr>
            <w:tcW w:w="566" w:type="dxa"/>
            <w:tcBorders>
              <w:top w:val="nil"/>
              <w:left w:val="single" w:sz="4" w:space="0" w:color="FFFFFF"/>
              <w:bottom w:val="single" w:sz="4" w:space="0" w:color="FFFFFF"/>
              <w:right w:val="nil"/>
            </w:tcBorders>
            <w:shd w:val="clear" w:color="000000" w:fill="BFBFBF"/>
            <w:noWrap/>
            <w:textDirection w:val="btLr"/>
            <w:vAlign w:val="bottom"/>
            <w:hideMark/>
          </w:tcPr>
          <w:p w14:paraId="62C8B5E6"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10 sav.</w:t>
            </w:r>
          </w:p>
        </w:tc>
        <w:tc>
          <w:tcPr>
            <w:tcW w:w="566" w:type="dxa"/>
            <w:tcBorders>
              <w:top w:val="nil"/>
              <w:left w:val="single" w:sz="4" w:space="0" w:color="FFFFFF"/>
              <w:bottom w:val="single" w:sz="4" w:space="0" w:color="FFFFFF"/>
              <w:right w:val="single" w:sz="4" w:space="0" w:color="FFFFFF"/>
            </w:tcBorders>
            <w:shd w:val="clear" w:color="000000" w:fill="BFBFBF"/>
            <w:noWrap/>
            <w:textDirection w:val="btLr"/>
            <w:vAlign w:val="bottom"/>
            <w:hideMark/>
          </w:tcPr>
          <w:p w14:paraId="48F71E62"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23 sav.</w:t>
            </w:r>
          </w:p>
        </w:tc>
        <w:tc>
          <w:tcPr>
            <w:tcW w:w="566" w:type="dxa"/>
            <w:tcBorders>
              <w:top w:val="nil"/>
              <w:left w:val="nil"/>
              <w:bottom w:val="single" w:sz="4" w:space="0" w:color="FFFFFF"/>
              <w:right w:val="single" w:sz="4" w:space="0" w:color="FFFFFF"/>
            </w:tcBorders>
            <w:shd w:val="clear" w:color="000000" w:fill="BFBFBF"/>
            <w:noWrap/>
            <w:textDirection w:val="btLr"/>
            <w:vAlign w:val="bottom"/>
            <w:hideMark/>
          </w:tcPr>
          <w:p w14:paraId="4B5569AC"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36 sav.</w:t>
            </w:r>
          </w:p>
        </w:tc>
        <w:tc>
          <w:tcPr>
            <w:tcW w:w="566" w:type="dxa"/>
            <w:tcBorders>
              <w:top w:val="nil"/>
              <w:left w:val="nil"/>
              <w:bottom w:val="single" w:sz="4" w:space="0" w:color="FFFFFF"/>
              <w:right w:val="single" w:sz="4" w:space="0" w:color="FFFFFF"/>
            </w:tcBorders>
            <w:shd w:val="clear" w:color="000000" w:fill="BFBFBF"/>
            <w:noWrap/>
            <w:textDirection w:val="btLr"/>
            <w:vAlign w:val="bottom"/>
            <w:hideMark/>
          </w:tcPr>
          <w:p w14:paraId="26C3BDAF"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49 sav.</w:t>
            </w:r>
          </w:p>
        </w:tc>
        <w:tc>
          <w:tcPr>
            <w:tcW w:w="595" w:type="dxa"/>
            <w:tcBorders>
              <w:top w:val="nil"/>
              <w:left w:val="nil"/>
              <w:bottom w:val="single" w:sz="4" w:space="0" w:color="FFFFFF"/>
              <w:right w:val="single" w:sz="4" w:space="0" w:color="FFFFFF"/>
            </w:tcBorders>
            <w:shd w:val="clear" w:color="000000" w:fill="BFBFBF"/>
            <w:noWrap/>
            <w:textDirection w:val="btLr"/>
            <w:vAlign w:val="bottom"/>
            <w:hideMark/>
          </w:tcPr>
          <w:p w14:paraId="3E50A004"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10 sav.</w:t>
            </w:r>
          </w:p>
        </w:tc>
        <w:tc>
          <w:tcPr>
            <w:tcW w:w="595" w:type="dxa"/>
            <w:tcBorders>
              <w:top w:val="nil"/>
              <w:left w:val="nil"/>
              <w:bottom w:val="single" w:sz="4" w:space="0" w:color="FFFFFF"/>
              <w:right w:val="single" w:sz="4" w:space="0" w:color="FFFFFF"/>
            </w:tcBorders>
            <w:shd w:val="clear" w:color="000000" w:fill="BFBFBF"/>
            <w:noWrap/>
            <w:textDirection w:val="btLr"/>
            <w:vAlign w:val="bottom"/>
            <w:hideMark/>
          </w:tcPr>
          <w:p w14:paraId="36179132"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23 sav.</w:t>
            </w:r>
          </w:p>
        </w:tc>
        <w:tc>
          <w:tcPr>
            <w:tcW w:w="595" w:type="dxa"/>
            <w:tcBorders>
              <w:top w:val="nil"/>
              <w:left w:val="nil"/>
              <w:bottom w:val="single" w:sz="4" w:space="0" w:color="FFFFFF"/>
              <w:right w:val="single" w:sz="4" w:space="0" w:color="FFFFFF"/>
            </w:tcBorders>
            <w:shd w:val="clear" w:color="000000" w:fill="BFBFBF"/>
            <w:noWrap/>
            <w:textDirection w:val="btLr"/>
            <w:vAlign w:val="bottom"/>
            <w:hideMark/>
          </w:tcPr>
          <w:p w14:paraId="4129F98A"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36 sav.</w:t>
            </w:r>
          </w:p>
        </w:tc>
        <w:tc>
          <w:tcPr>
            <w:tcW w:w="595" w:type="dxa"/>
            <w:tcBorders>
              <w:top w:val="nil"/>
              <w:left w:val="nil"/>
              <w:bottom w:val="single" w:sz="4" w:space="0" w:color="FFFFFF"/>
              <w:right w:val="single" w:sz="4" w:space="0" w:color="FFFFFF"/>
            </w:tcBorders>
            <w:shd w:val="clear" w:color="000000" w:fill="BFBFBF"/>
            <w:noWrap/>
            <w:textDirection w:val="btLr"/>
            <w:vAlign w:val="bottom"/>
            <w:hideMark/>
          </w:tcPr>
          <w:p w14:paraId="0256FCD3"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49 sav.</w:t>
            </w:r>
          </w:p>
        </w:tc>
        <w:tc>
          <w:tcPr>
            <w:tcW w:w="566" w:type="dxa"/>
            <w:tcBorders>
              <w:top w:val="nil"/>
              <w:left w:val="nil"/>
              <w:bottom w:val="single" w:sz="4" w:space="0" w:color="BFBFBF"/>
              <w:right w:val="single" w:sz="4" w:space="0" w:color="FFFFFF"/>
            </w:tcBorders>
            <w:shd w:val="clear" w:color="000000" w:fill="BFBFBF"/>
            <w:noWrap/>
            <w:textDirection w:val="btLr"/>
            <w:vAlign w:val="bottom"/>
            <w:hideMark/>
          </w:tcPr>
          <w:p w14:paraId="5E2DEE63"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10 sav.</w:t>
            </w:r>
          </w:p>
        </w:tc>
        <w:tc>
          <w:tcPr>
            <w:tcW w:w="566" w:type="dxa"/>
            <w:tcBorders>
              <w:top w:val="nil"/>
              <w:left w:val="nil"/>
              <w:bottom w:val="single" w:sz="4" w:space="0" w:color="BFBFBF"/>
              <w:right w:val="single" w:sz="4" w:space="0" w:color="FFFFFF"/>
            </w:tcBorders>
            <w:shd w:val="clear" w:color="000000" w:fill="BFBFBF"/>
            <w:noWrap/>
            <w:textDirection w:val="btLr"/>
            <w:vAlign w:val="bottom"/>
            <w:hideMark/>
          </w:tcPr>
          <w:p w14:paraId="231F2D9A"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36 sav.</w:t>
            </w:r>
          </w:p>
        </w:tc>
        <w:tc>
          <w:tcPr>
            <w:tcW w:w="566" w:type="dxa"/>
            <w:tcBorders>
              <w:top w:val="nil"/>
              <w:left w:val="nil"/>
              <w:bottom w:val="single" w:sz="4" w:space="0" w:color="BFBFBF"/>
              <w:right w:val="single" w:sz="4" w:space="0" w:color="FFFFFF"/>
            </w:tcBorders>
            <w:shd w:val="clear" w:color="000000" w:fill="BFBFBF"/>
            <w:noWrap/>
            <w:textDirection w:val="btLr"/>
            <w:vAlign w:val="bottom"/>
            <w:hideMark/>
          </w:tcPr>
          <w:p w14:paraId="7E252B0F"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49 sav.</w:t>
            </w:r>
          </w:p>
        </w:tc>
        <w:tc>
          <w:tcPr>
            <w:tcW w:w="616" w:type="dxa"/>
            <w:tcBorders>
              <w:top w:val="single" w:sz="4" w:space="0" w:color="FFFFFF"/>
              <w:left w:val="nil"/>
              <w:bottom w:val="single" w:sz="4" w:space="0" w:color="BFBFBF"/>
              <w:right w:val="nil"/>
            </w:tcBorders>
            <w:shd w:val="clear" w:color="000000" w:fill="BFBFBF"/>
            <w:noWrap/>
            <w:textDirection w:val="btLr"/>
            <w:vAlign w:val="bottom"/>
            <w:hideMark/>
          </w:tcPr>
          <w:p w14:paraId="72F1CE8A"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10 sav.</w:t>
            </w:r>
          </w:p>
        </w:tc>
        <w:tc>
          <w:tcPr>
            <w:tcW w:w="1014" w:type="dxa"/>
            <w:gridSpan w:val="2"/>
            <w:tcBorders>
              <w:top w:val="nil"/>
              <w:left w:val="single" w:sz="4" w:space="0" w:color="FFFFFF"/>
              <w:bottom w:val="nil"/>
              <w:right w:val="single" w:sz="4" w:space="0" w:color="FFFFFF"/>
            </w:tcBorders>
            <w:shd w:val="clear" w:color="000000" w:fill="BFBFBF"/>
            <w:noWrap/>
            <w:textDirection w:val="btLr"/>
            <w:vAlign w:val="center"/>
            <w:hideMark/>
          </w:tcPr>
          <w:p w14:paraId="418D7A25" w14:textId="77777777" w:rsidR="009418A4" w:rsidRPr="009418A4" w:rsidRDefault="009418A4" w:rsidP="00DE5D4D">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ketvirčio</w:t>
            </w:r>
          </w:p>
        </w:tc>
        <w:tc>
          <w:tcPr>
            <w:tcW w:w="990" w:type="dxa"/>
            <w:tcBorders>
              <w:top w:val="nil"/>
              <w:left w:val="nil"/>
              <w:bottom w:val="nil"/>
              <w:right w:val="single" w:sz="4" w:space="0" w:color="BFBFBF"/>
            </w:tcBorders>
            <w:shd w:val="clear" w:color="000000" w:fill="BFBFBF"/>
            <w:noWrap/>
            <w:textDirection w:val="btLr"/>
            <w:vAlign w:val="center"/>
            <w:hideMark/>
          </w:tcPr>
          <w:p w14:paraId="6B93BA93" w14:textId="77777777" w:rsidR="009418A4" w:rsidRPr="009418A4" w:rsidRDefault="009418A4" w:rsidP="00DE5D4D">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metų</w:t>
            </w:r>
          </w:p>
        </w:tc>
      </w:tr>
      <w:tr w:rsidR="009418A4" w:rsidRPr="009418A4" w14:paraId="03E6D35A" w14:textId="77777777" w:rsidTr="00DE5D4D">
        <w:trPr>
          <w:trHeight w:val="300"/>
        </w:trPr>
        <w:tc>
          <w:tcPr>
            <w:tcW w:w="1540" w:type="dxa"/>
            <w:tcBorders>
              <w:top w:val="nil"/>
              <w:left w:val="single" w:sz="4" w:space="0" w:color="BFBFBF"/>
              <w:bottom w:val="nil"/>
              <w:right w:val="nil"/>
            </w:tcBorders>
            <w:shd w:val="clear" w:color="000000" w:fill="FFFFFF"/>
            <w:noWrap/>
            <w:vAlign w:val="bottom"/>
            <w:hideMark/>
          </w:tcPr>
          <w:p w14:paraId="75F1CFBE"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Vilniuje</w:t>
            </w:r>
          </w:p>
        </w:tc>
        <w:tc>
          <w:tcPr>
            <w:tcW w:w="566" w:type="dxa"/>
            <w:tcBorders>
              <w:top w:val="single" w:sz="4" w:space="0" w:color="BFBFBF"/>
              <w:left w:val="single" w:sz="4" w:space="0" w:color="BFBFBF"/>
              <w:bottom w:val="nil"/>
              <w:right w:val="nil"/>
            </w:tcBorders>
            <w:shd w:val="clear" w:color="000000" w:fill="FFFFFF"/>
            <w:noWrap/>
            <w:vAlign w:val="bottom"/>
          </w:tcPr>
          <w:p w14:paraId="58BB98AB"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2,69</w:t>
            </w:r>
          </w:p>
        </w:tc>
        <w:tc>
          <w:tcPr>
            <w:tcW w:w="566" w:type="dxa"/>
            <w:tcBorders>
              <w:top w:val="single" w:sz="4" w:space="0" w:color="BFBFBF"/>
              <w:left w:val="nil"/>
              <w:bottom w:val="nil"/>
              <w:right w:val="nil"/>
            </w:tcBorders>
            <w:shd w:val="clear" w:color="000000" w:fill="FFFFFF"/>
            <w:noWrap/>
            <w:vAlign w:val="bottom"/>
          </w:tcPr>
          <w:p w14:paraId="2FDCC0A6"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2,54</w:t>
            </w:r>
          </w:p>
        </w:tc>
        <w:tc>
          <w:tcPr>
            <w:tcW w:w="566" w:type="dxa"/>
            <w:tcBorders>
              <w:top w:val="single" w:sz="4" w:space="0" w:color="BFBFBF"/>
              <w:left w:val="nil"/>
              <w:bottom w:val="nil"/>
              <w:right w:val="nil"/>
            </w:tcBorders>
            <w:shd w:val="clear" w:color="000000" w:fill="FFFFFF"/>
            <w:noWrap/>
            <w:vAlign w:val="bottom"/>
          </w:tcPr>
          <w:p w14:paraId="42D762B1"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2,34</w:t>
            </w:r>
          </w:p>
        </w:tc>
        <w:tc>
          <w:tcPr>
            <w:tcW w:w="566" w:type="dxa"/>
            <w:tcBorders>
              <w:top w:val="single" w:sz="4" w:space="0" w:color="BFBFBF"/>
              <w:left w:val="nil"/>
              <w:bottom w:val="nil"/>
              <w:right w:val="nil"/>
            </w:tcBorders>
            <w:shd w:val="clear" w:color="000000" w:fill="FFFFFF"/>
            <w:noWrap/>
            <w:vAlign w:val="bottom"/>
          </w:tcPr>
          <w:p w14:paraId="5BF1F797"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2,78</w:t>
            </w:r>
          </w:p>
        </w:tc>
        <w:tc>
          <w:tcPr>
            <w:tcW w:w="595" w:type="dxa"/>
            <w:tcBorders>
              <w:top w:val="single" w:sz="4" w:space="0" w:color="BFBFBF"/>
              <w:left w:val="nil"/>
              <w:bottom w:val="nil"/>
              <w:right w:val="nil"/>
            </w:tcBorders>
            <w:shd w:val="clear" w:color="000000" w:fill="FFFFFF"/>
            <w:noWrap/>
            <w:vAlign w:val="bottom"/>
          </w:tcPr>
          <w:p w14:paraId="6CB44D25"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2,78</w:t>
            </w:r>
          </w:p>
        </w:tc>
        <w:tc>
          <w:tcPr>
            <w:tcW w:w="595" w:type="dxa"/>
            <w:tcBorders>
              <w:top w:val="single" w:sz="4" w:space="0" w:color="BFBFBF"/>
              <w:left w:val="nil"/>
              <w:bottom w:val="nil"/>
              <w:right w:val="nil"/>
            </w:tcBorders>
            <w:shd w:val="clear" w:color="000000" w:fill="FFFFFF"/>
            <w:noWrap/>
            <w:vAlign w:val="bottom"/>
          </w:tcPr>
          <w:p w14:paraId="5C0076DB"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2,36</w:t>
            </w:r>
          </w:p>
        </w:tc>
        <w:tc>
          <w:tcPr>
            <w:tcW w:w="595" w:type="dxa"/>
            <w:tcBorders>
              <w:top w:val="single" w:sz="4" w:space="0" w:color="BFBFBF"/>
              <w:left w:val="nil"/>
              <w:bottom w:val="nil"/>
              <w:right w:val="nil"/>
            </w:tcBorders>
            <w:shd w:val="clear" w:color="000000" w:fill="FFFFFF"/>
            <w:noWrap/>
            <w:vAlign w:val="bottom"/>
          </w:tcPr>
          <w:p w14:paraId="18DC977D"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2,37</w:t>
            </w:r>
          </w:p>
        </w:tc>
        <w:tc>
          <w:tcPr>
            <w:tcW w:w="595" w:type="dxa"/>
            <w:tcBorders>
              <w:top w:val="single" w:sz="4" w:space="0" w:color="BFBFBF"/>
              <w:left w:val="nil"/>
              <w:bottom w:val="nil"/>
              <w:right w:val="nil"/>
            </w:tcBorders>
            <w:shd w:val="clear" w:color="000000" w:fill="FFFFFF"/>
            <w:noWrap/>
            <w:vAlign w:val="bottom"/>
          </w:tcPr>
          <w:p w14:paraId="61AC4769"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2,37</w:t>
            </w:r>
          </w:p>
        </w:tc>
        <w:tc>
          <w:tcPr>
            <w:tcW w:w="566" w:type="dxa"/>
            <w:tcBorders>
              <w:top w:val="nil"/>
              <w:left w:val="nil"/>
              <w:bottom w:val="nil"/>
              <w:right w:val="nil"/>
            </w:tcBorders>
            <w:shd w:val="clear" w:color="000000" w:fill="FFFFFF"/>
            <w:noWrap/>
            <w:vAlign w:val="bottom"/>
          </w:tcPr>
          <w:p w14:paraId="293C7F68"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2,37</w:t>
            </w:r>
          </w:p>
        </w:tc>
        <w:tc>
          <w:tcPr>
            <w:tcW w:w="566" w:type="dxa"/>
            <w:tcBorders>
              <w:top w:val="nil"/>
              <w:left w:val="nil"/>
              <w:bottom w:val="nil"/>
              <w:right w:val="nil"/>
            </w:tcBorders>
            <w:shd w:val="clear" w:color="000000" w:fill="FFFFFF"/>
            <w:noWrap/>
            <w:vAlign w:val="bottom"/>
          </w:tcPr>
          <w:p w14:paraId="10F080B7"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2,29</w:t>
            </w:r>
          </w:p>
        </w:tc>
        <w:tc>
          <w:tcPr>
            <w:tcW w:w="566" w:type="dxa"/>
            <w:tcBorders>
              <w:top w:val="nil"/>
              <w:left w:val="nil"/>
              <w:bottom w:val="nil"/>
              <w:right w:val="nil"/>
            </w:tcBorders>
            <w:shd w:val="clear" w:color="000000" w:fill="FFFFFF"/>
            <w:noWrap/>
            <w:vAlign w:val="bottom"/>
          </w:tcPr>
          <w:p w14:paraId="7586AE57"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2,33</w:t>
            </w:r>
          </w:p>
        </w:tc>
        <w:tc>
          <w:tcPr>
            <w:tcW w:w="616" w:type="dxa"/>
            <w:tcBorders>
              <w:top w:val="nil"/>
              <w:left w:val="nil"/>
              <w:bottom w:val="nil"/>
              <w:right w:val="single" w:sz="4" w:space="0" w:color="BFBFBF"/>
            </w:tcBorders>
            <w:shd w:val="clear" w:color="000000" w:fill="FFFFFF"/>
            <w:noWrap/>
            <w:vAlign w:val="bottom"/>
          </w:tcPr>
          <w:p w14:paraId="4ADB32D8"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2,33</w:t>
            </w:r>
          </w:p>
        </w:tc>
        <w:tc>
          <w:tcPr>
            <w:tcW w:w="666" w:type="dxa"/>
            <w:tcBorders>
              <w:top w:val="nil"/>
              <w:left w:val="nil"/>
              <w:bottom w:val="nil"/>
              <w:right w:val="nil"/>
            </w:tcBorders>
            <w:shd w:val="clear" w:color="000000" w:fill="FFFFFF"/>
            <w:noWrap/>
            <w:vAlign w:val="bottom"/>
            <w:hideMark/>
          </w:tcPr>
          <w:p w14:paraId="563A7065"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0</w:t>
            </w:r>
            <w:r w:rsidR="00B5735A">
              <w:rPr>
                <w:rFonts w:ascii="Times New Roman" w:eastAsia="Times New Roman" w:hAnsi="Times New Roman"/>
                <w:color w:val="000000"/>
                <w:sz w:val="20"/>
                <w:szCs w:val="20"/>
                <w:lang w:eastAsia="lt-LT"/>
              </w:rPr>
              <w:t>,00</w:t>
            </w:r>
          </w:p>
        </w:tc>
        <w:tc>
          <w:tcPr>
            <w:tcW w:w="1338" w:type="dxa"/>
            <w:gridSpan w:val="2"/>
            <w:tcBorders>
              <w:top w:val="nil"/>
              <w:left w:val="nil"/>
              <w:bottom w:val="nil"/>
              <w:right w:val="single" w:sz="4" w:space="0" w:color="BFBFBF"/>
            </w:tcBorders>
            <w:shd w:val="clear" w:color="000000" w:fill="FFFFFF"/>
            <w:noWrap/>
            <w:vAlign w:val="bottom"/>
            <w:hideMark/>
          </w:tcPr>
          <w:p w14:paraId="1AF6AA0F"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-1,69</w:t>
            </w:r>
          </w:p>
        </w:tc>
      </w:tr>
      <w:tr w:rsidR="009418A4" w:rsidRPr="009418A4" w14:paraId="6B8DB1AE" w14:textId="77777777" w:rsidTr="00DE5D4D">
        <w:trPr>
          <w:trHeight w:val="300"/>
        </w:trPr>
        <w:tc>
          <w:tcPr>
            <w:tcW w:w="1540" w:type="dxa"/>
            <w:tcBorders>
              <w:top w:val="nil"/>
              <w:left w:val="single" w:sz="4" w:space="0" w:color="BFBFBF"/>
              <w:bottom w:val="nil"/>
              <w:right w:val="nil"/>
            </w:tcBorders>
            <w:shd w:val="clear" w:color="000000" w:fill="FFFFFF"/>
            <w:noWrap/>
            <w:vAlign w:val="bottom"/>
            <w:hideMark/>
          </w:tcPr>
          <w:p w14:paraId="4946C543"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Rygoje</w:t>
            </w:r>
          </w:p>
        </w:tc>
        <w:tc>
          <w:tcPr>
            <w:tcW w:w="566" w:type="dxa"/>
            <w:tcBorders>
              <w:top w:val="nil"/>
              <w:left w:val="single" w:sz="4" w:space="0" w:color="BFBFBF"/>
              <w:bottom w:val="nil"/>
              <w:right w:val="nil"/>
            </w:tcBorders>
            <w:shd w:val="clear" w:color="000000" w:fill="FFFFFF"/>
            <w:noWrap/>
            <w:vAlign w:val="bottom"/>
          </w:tcPr>
          <w:p w14:paraId="3B0A8391"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2,71</w:t>
            </w:r>
          </w:p>
        </w:tc>
        <w:tc>
          <w:tcPr>
            <w:tcW w:w="566" w:type="dxa"/>
            <w:tcBorders>
              <w:top w:val="nil"/>
              <w:left w:val="nil"/>
              <w:bottom w:val="nil"/>
              <w:right w:val="nil"/>
            </w:tcBorders>
            <w:shd w:val="clear" w:color="000000" w:fill="FFFFFF"/>
            <w:noWrap/>
            <w:vAlign w:val="bottom"/>
          </w:tcPr>
          <w:p w14:paraId="1D661E8E"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2,75</w:t>
            </w:r>
          </w:p>
        </w:tc>
        <w:tc>
          <w:tcPr>
            <w:tcW w:w="566" w:type="dxa"/>
            <w:tcBorders>
              <w:top w:val="nil"/>
              <w:left w:val="nil"/>
              <w:bottom w:val="nil"/>
              <w:right w:val="nil"/>
            </w:tcBorders>
            <w:shd w:val="clear" w:color="000000" w:fill="FFFFFF"/>
            <w:noWrap/>
            <w:vAlign w:val="bottom"/>
          </w:tcPr>
          <w:p w14:paraId="71AEEEFF"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5F139C6E"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0E65021A"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540E66A0"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4783F765"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2,75</w:t>
            </w:r>
          </w:p>
        </w:tc>
        <w:tc>
          <w:tcPr>
            <w:tcW w:w="595" w:type="dxa"/>
            <w:tcBorders>
              <w:top w:val="nil"/>
              <w:left w:val="nil"/>
              <w:bottom w:val="nil"/>
              <w:right w:val="nil"/>
            </w:tcBorders>
            <w:shd w:val="clear" w:color="000000" w:fill="FFFFFF"/>
            <w:noWrap/>
            <w:vAlign w:val="bottom"/>
          </w:tcPr>
          <w:p w14:paraId="2CB6AD6B"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3,81</w:t>
            </w:r>
          </w:p>
        </w:tc>
        <w:tc>
          <w:tcPr>
            <w:tcW w:w="566" w:type="dxa"/>
            <w:tcBorders>
              <w:top w:val="nil"/>
              <w:left w:val="nil"/>
              <w:bottom w:val="nil"/>
              <w:right w:val="nil"/>
            </w:tcBorders>
            <w:shd w:val="clear" w:color="000000" w:fill="FFFFFF"/>
            <w:noWrap/>
            <w:vAlign w:val="bottom"/>
          </w:tcPr>
          <w:p w14:paraId="77279F89"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4620376A"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5CFAC608"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3,73</w:t>
            </w:r>
          </w:p>
        </w:tc>
        <w:tc>
          <w:tcPr>
            <w:tcW w:w="616" w:type="dxa"/>
            <w:tcBorders>
              <w:top w:val="nil"/>
              <w:left w:val="nil"/>
              <w:bottom w:val="nil"/>
              <w:right w:val="single" w:sz="4" w:space="0" w:color="BFBFBF"/>
            </w:tcBorders>
            <w:shd w:val="clear" w:color="000000" w:fill="FFFFFF"/>
            <w:noWrap/>
            <w:vAlign w:val="bottom"/>
          </w:tcPr>
          <w:p w14:paraId="1B8C09A9" w14:textId="77777777" w:rsidR="009418A4" w:rsidRPr="009418A4" w:rsidRDefault="00E23CBC"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2,37</w:t>
            </w:r>
          </w:p>
        </w:tc>
        <w:tc>
          <w:tcPr>
            <w:tcW w:w="666" w:type="dxa"/>
            <w:tcBorders>
              <w:top w:val="nil"/>
              <w:left w:val="nil"/>
              <w:bottom w:val="nil"/>
              <w:right w:val="nil"/>
            </w:tcBorders>
            <w:shd w:val="clear" w:color="000000" w:fill="FFFFFF"/>
            <w:noWrap/>
            <w:vAlign w:val="bottom"/>
            <w:hideMark/>
          </w:tcPr>
          <w:p w14:paraId="665B4952" w14:textId="77777777" w:rsidR="009418A4" w:rsidRPr="009418A4" w:rsidRDefault="009418A4" w:rsidP="00E23CBC">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w:t>
            </w:r>
            <w:r w:rsidR="00E23CBC">
              <w:rPr>
                <w:rFonts w:ascii="Times New Roman" w:eastAsia="Times New Roman" w:hAnsi="Times New Roman"/>
                <w:color w:val="000000"/>
                <w:sz w:val="20"/>
                <w:szCs w:val="20"/>
                <w:lang w:eastAsia="lt-LT"/>
              </w:rPr>
              <w:t>36,46</w:t>
            </w:r>
          </w:p>
        </w:tc>
        <w:tc>
          <w:tcPr>
            <w:tcW w:w="1338" w:type="dxa"/>
            <w:gridSpan w:val="2"/>
            <w:tcBorders>
              <w:top w:val="nil"/>
              <w:left w:val="nil"/>
              <w:bottom w:val="nil"/>
              <w:right w:val="single" w:sz="4" w:space="0" w:color="BFBFBF"/>
            </w:tcBorders>
            <w:shd w:val="clear" w:color="000000" w:fill="FFFFFF"/>
            <w:noWrap/>
            <w:vAlign w:val="bottom"/>
            <w:hideMark/>
          </w:tcPr>
          <w:p w14:paraId="5718C014" w14:textId="77777777" w:rsidR="009418A4" w:rsidRPr="009418A4" w:rsidRDefault="009418A4" w:rsidP="009418A4">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w:t>
            </w:r>
          </w:p>
        </w:tc>
      </w:tr>
      <w:tr w:rsidR="009418A4" w:rsidRPr="009418A4" w14:paraId="4F78FEAD" w14:textId="77777777" w:rsidTr="00DE5D4D">
        <w:trPr>
          <w:trHeight w:val="300"/>
        </w:trPr>
        <w:tc>
          <w:tcPr>
            <w:tcW w:w="1540" w:type="dxa"/>
            <w:tcBorders>
              <w:top w:val="nil"/>
              <w:left w:val="single" w:sz="4" w:space="0" w:color="BFBFBF"/>
              <w:bottom w:val="nil"/>
              <w:right w:val="nil"/>
            </w:tcBorders>
            <w:shd w:val="clear" w:color="000000" w:fill="FFFFFF"/>
            <w:noWrap/>
            <w:vAlign w:val="bottom"/>
            <w:hideMark/>
          </w:tcPr>
          <w:p w14:paraId="35E64810"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Prahoje</w:t>
            </w:r>
          </w:p>
        </w:tc>
        <w:tc>
          <w:tcPr>
            <w:tcW w:w="566" w:type="dxa"/>
            <w:tcBorders>
              <w:top w:val="nil"/>
              <w:left w:val="single" w:sz="4" w:space="0" w:color="BFBFBF"/>
              <w:bottom w:val="nil"/>
              <w:right w:val="nil"/>
            </w:tcBorders>
            <w:shd w:val="clear" w:color="000000" w:fill="FFFFFF"/>
            <w:noWrap/>
            <w:vAlign w:val="bottom"/>
          </w:tcPr>
          <w:p w14:paraId="5E675E5C"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2,45</w:t>
            </w:r>
          </w:p>
        </w:tc>
        <w:tc>
          <w:tcPr>
            <w:tcW w:w="566" w:type="dxa"/>
            <w:tcBorders>
              <w:top w:val="nil"/>
              <w:left w:val="nil"/>
              <w:bottom w:val="nil"/>
              <w:right w:val="nil"/>
            </w:tcBorders>
            <w:shd w:val="clear" w:color="000000" w:fill="FFFFFF"/>
            <w:noWrap/>
            <w:vAlign w:val="bottom"/>
          </w:tcPr>
          <w:p w14:paraId="3E9BD360"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2,05</w:t>
            </w:r>
          </w:p>
        </w:tc>
        <w:tc>
          <w:tcPr>
            <w:tcW w:w="566" w:type="dxa"/>
            <w:tcBorders>
              <w:top w:val="nil"/>
              <w:left w:val="nil"/>
              <w:bottom w:val="nil"/>
              <w:right w:val="nil"/>
            </w:tcBorders>
            <w:shd w:val="clear" w:color="000000" w:fill="FFFFFF"/>
            <w:noWrap/>
            <w:vAlign w:val="bottom"/>
          </w:tcPr>
          <w:p w14:paraId="7B08EF8D"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2,40</w:t>
            </w:r>
          </w:p>
        </w:tc>
        <w:tc>
          <w:tcPr>
            <w:tcW w:w="566" w:type="dxa"/>
            <w:tcBorders>
              <w:top w:val="nil"/>
              <w:left w:val="nil"/>
              <w:bottom w:val="nil"/>
              <w:right w:val="nil"/>
            </w:tcBorders>
            <w:shd w:val="clear" w:color="000000" w:fill="FFFFFF"/>
            <w:noWrap/>
            <w:vAlign w:val="bottom"/>
          </w:tcPr>
          <w:p w14:paraId="20DAE0B9"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2,17</w:t>
            </w:r>
          </w:p>
        </w:tc>
        <w:tc>
          <w:tcPr>
            <w:tcW w:w="595" w:type="dxa"/>
            <w:tcBorders>
              <w:top w:val="nil"/>
              <w:left w:val="nil"/>
              <w:bottom w:val="nil"/>
              <w:right w:val="nil"/>
            </w:tcBorders>
            <w:shd w:val="clear" w:color="000000" w:fill="FFFFFF"/>
            <w:noWrap/>
            <w:vAlign w:val="bottom"/>
          </w:tcPr>
          <w:p w14:paraId="07EBCD49"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2,45</w:t>
            </w:r>
          </w:p>
        </w:tc>
        <w:tc>
          <w:tcPr>
            <w:tcW w:w="595" w:type="dxa"/>
            <w:tcBorders>
              <w:top w:val="nil"/>
              <w:left w:val="nil"/>
              <w:bottom w:val="nil"/>
              <w:right w:val="nil"/>
            </w:tcBorders>
            <w:shd w:val="clear" w:color="000000" w:fill="FFFFFF"/>
            <w:noWrap/>
            <w:vAlign w:val="bottom"/>
          </w:tcPr>
          <w:p w14:paraId="7C2F2635"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2,42</w:t>
            </w:r>
          </w:p>
        </w:tc>
        <w:tc>
          <w:tcPr>
            <w:tcW w:w="595" w:type="dxa"/>
            <w:tcBorders>
              <w:top w:val="nil"/>
              <w:left w:val="nil"/>
              <w:bottom w:val="nil"/>
              <w:right w:val="nil"/>
            </w:tcBorders>
            <w:shd w:val="clear" w:color="000000" w:fill="FFFFFF"/>
            <w:noWrap/>
            <w:vAlign w:val="bottom"/>
          </w:tcPr>
          <w:p w14:paraId="37D9C467"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2,69</w:t>
            </w:r>
          </w:p>
        </w:tc>
        <w:tc>
          <w:tcPr>
            <w:tcW w:w="595" w:type="dxa"/>
            <w:tcBorders>
              <w:top w:val="nil"/>
              <w:left w:val="nil"/>
              <w:bottom w:val="nil"/>
              <w:right w:val="nil"/>
            </w:tcBorders>
            <w:shd w:val="clear" w:color="000000" w:fill="FFFFFF"/>
            <w:noWrap/>
            <w:vAlign w:val="bottom"/>
          </w:tcPr>
          <w:p w14:paraId="385074B7"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2,63</w:t>
            </w:r>
          </w:p>
        </w:tc>
        <w:tc>
          <w:tcPr>
            <w:tcW w:w="566" w:type="dxa"/>
            <w:tcBorders>
              <w:top w:val="nil"/>
              <w:left w:val="nil"/>
              <w:bottom w:val="nil"/>
              <w:right w:val="nil"/>
            </w:tcBorders>
            <w:shd w:val="clear" w:color="000000" w:fill="FFFFFF"/>
            <w:noWrap/>
            <w:vAlign w:val="bottom"/>
          </w:tcPr>
          <w:p w14:paraId="019A6D65"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2,92</w:t>
            </w:r>
          </w:p>
        </w:tc>
        <w:tc>
          <w:tcPr>
            <w:tcW w:w="566" w:type="dxa"/>
            <w:tcBorders>
              <w:top w:val="nil"/>
              <w:left w:val="nil"/>
              <w:bottom w:val="nil"/>
              <w:right w:val="nil"/>
            </w:tcBorders>
            <w:shd w:val="clear" w:color="000000" w:fill="FFFFFF"/>
            <w:noWrap/>
            <w:vAlign w:val="bottom"/>
          </w:tcPr>
          <w:p w14:paraId="1C637829"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2,29</w:t>
            </w:r>
          </w:p>
        </w:tc>
        <w:tc>
          <w:tcPr>
            <w:tcW w:w="566" w:type="dxa"/>
            <w:tcBorders>
              <w:top w:val="nil"/>
              <w:left w:val="nil"/>
              <w:bottom w:val="nil"/>
              <w:right w:val="nil"/>
            </w:tcBorders>
            <w:shd w:val="clear" w:color="000000" w:fill="FFFFFF"/>
            <w:noWrap/>
            <w:vAlign w:val="bottom"/>
          </w:tcPr>
          <w:p w14:paraId="2F0586C7"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2,64</w:t>
            </w:r>
          </w:p>
        </w:tc>
        <w:tc>
          <w:tcPr>
            <w:tcW w:w="616" w:type="dxa"/>
            <w:tcBorders>
              <w:top w:val="nil"/>
              <w:left w:val="nil"/>
              <w:bottom w:val="nil"/>
              <w:right w:val="single" w:sz="4" w:space="0" w:color="BFBFBF"/>
            </w:tcBorders>
            <w:shd w:val="clear" w:color="000000" w:fill="FFFFFF"/>
            <w:noWrap/>
            <w:vAlign w:val="bottom"/>
          </w:tcPr>
          <w:p w14:paraId="02104305"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2,54</w:t>
            </w:r>
          </w:p>
        </w:tc>
        <w:tc>
          <w:tcPr>
            <w:tcW w:w="666" w:type="dxa"/>
            <w:tcBorders>
              <w:top w:val="nil"/>
              <w:left w:val="nil"/>
              <w:bottom w:val="nil"/>
              <w:right w:val="nil"/>
            </w:tcBorders>
            <w:shd w:val="clear" w:color="000000" w:fill="FFFFFF"/>
            <w:noWrap/>
            <w:vAlign w:val="bottom"/>
            <w:hideMark/>
          </w:tcPr>
          <w:p w14:paraId="44E7D3EC"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-3,79</w:t>
            </w:r>
          </w:p>
        </w:tc>
        <w:tc>
          <w:tcPr>
            <w:tcW w:w="1338" w:type="dxa"/>
            <w:gridSpan w:val="2"/>
            <w:tcBorders>
              <w:top w:val="nil"/>
              <w:left w:val="nil"/>
              <w:bottom w:val="nil"/>
              <w:right w:val="single" w:sz="4" w:space="0" w:color="BFBFBF"/>
            </w:tcBorders>
            <w:shd w:val="clear" w:color="000000" w:fill="FFFFFF"/>
            <w:noWrap/>
            <w:vAlign w:val="bottom"/>
            <w:hideMark/>
          </w:tcPr>
          <w:p w14:paraId="0CB9D04E" w14:textId="77777777" w:rsidR="009418A4" w:rsidRPr="009418A4" w:rsidRDefault="009418A4" w:rsidP="00D02161">
            <w:pPr>
              <w:spacing w:after="0" w:line="240" w:lineRule="auto"/>
              <w:jc w:val="center"/>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w:t>
            </w:r>
            <w:r w:rsidR="00D02161">
              <w:rPr>
                <w:rFonts w:ascii="Times New Roman" w:eastAsia="Times New Roman" w:hAnsi="Times New Roman"/>
                <w:color w:val="000000"/>
                <w:sz w:val="20"/>
                <w:szCs w:val="20"/>
                <w:lang w:eastAsia="lt-LT"/>
              </w:rPr>
              <w:t>13,01</w:t>
            </w:r>
          </w:p>
        </w:tc>
      </w:tr>
      <w:tr w:rsidR="009418A4" w:rsidRPr="009418A4" w14:paraId="7D685B06" w14:textId="77777777" w:rsidTr="00DE5D4D">
        <w:trPr>
          <w:trHeight w:val="300"/>
        </w:trPr>
        <w:tc>
          <w:tcPr>
            <w:tcW w:w="1540" w:type="dxa"/>
            <w:tcBorders>
              <w:top w:val="nil"/>
              <w:left w:val="single" w:sz="4" w:space="0" w:color="BFBFBF"/>
              <w:bottom w:val="nil"/>
              <w:right w:val="nil"/>
            </w:tcBorders>
            <w:shd w:val="clear" w:color="000000" w:fill="FFFFFF"/>
            <w:noWrap/>
            <w:vAlign w:val="bottom"/>
            <w:hideMark/>
          </w:tcPr>
          <w:p w14:paraId="6FCF117B" w14:textId="77777777" w:rsidR="009418A4" w:rsidRPr="009418A4" w:rsidRDefault="009418A4" w:rsidP="009418A4">
            <w:pPr>
              <w:spacing w:after="0" w:line="240" w:lineRule="auto"/>
              <w:rPr>
                <w:rFonts w:ascii="Times New Roman" w:eastAsia="Times New Roman" w:hAnsi="Times New Roman"/>
                <w:color w:val="000000"/>
                <w:sz w:val="20"/>
                <w:szCs w:val="20"/>
                <w:lang w:eastAsia="lt-LT"/>
              </w:rPr>
            </w:pPr>
            <w:r w:rsidRPr="009418A4">
              <w:rPr>
                <w:rFonts w:ascii="Times New Roman" w:eastAsia="Times New Roman" w:hAnsi="Times New Roman"/>
                <w:color w:val="000000"/>
                <w:sz w:val="20"/>
                <w:szCs w:val="20"/>
                <w:lang w:eastAsia="lt-LT"/>
              </w:rPr>
              <w:t>Budapešte</w:t>
            </w:r>
          </w:p>
        </w:tc>
        <w:tc>
          <w:tcPr>
            <w:tcW w:w="566" w:type="dxa"/>
            <w:tcBorders>
              <w:top w:val="nil"/>
              <w:left w:val="single" w:sz="4" w:space="0" w:color="BFBFBF"/>
              <w:bottom w:val="nil"/>
              <w:right w:val="nil"/>
            </w:tcBorders>
            <w:shd w:val="clear" w:color="000000" w:fill="FFFFFF"/>
            <w:noWrap/>
            <w:vAlign w:val="bottom"/>
          </w:tcPr>
          <w:p w14:paraId="75DE8554"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74ADEC36"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4F4BC7D5"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66" w:type="dxa"/>
            <w:tcBorders>
              <w:top w:val="nil"/>
              <w:left w:val="nil"/>
              <w:bottom w:val="nil"/>
              <w:right w:val="nil"/>
            </w:tcBorders>
            <w:shd w:val="clear" w:color="000000" w:fill="FFFFFF"/>
            <w:noWrap/>
            <w:vAlign w:val="bottom"/>
          </w:tcPr>
          <w:p w14:paraId="293E05BB"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4B6E981F"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6CCEB826"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w:t>
            </w:r>
          </w:p>
        </w:tc>
        <w:tc>
          <w:tcPr>
            <w:tcW w:w="595" w:type="dxa"/>
            <w:tcBorders>
              <w:top w:val="nil"/>
              <w:left w:val="nil"/>
              <w:bottom w:val="nil"/>
              <w:right w:val="nil"/>
            </w:tcBorders>
            <w:shd w:val="clear" w:color="000000" w:fill="FFFFFF"/>
            <w:noWrap/>
            <w:vAlign w:val="bottom"/>
          </w:tcPr>
          <w:p w14:paraId="517B704E"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2,12</w:t>
            </w:r>
          </w:p>
        </w:tc>
        <w:tc>
          <w:tcPr>
            <w:tcW w:w="595" w:type="dxa"/>
            <w:tcBorders>
              <w:top w:val="nil"/>
              <w:left w:val="nil"/>
              <w:bottom w:val="nil"/>
              <w:right w:val="nil"/>
            </w:tcBorders>
            <w:shd w:val="clear" w:color="000000" w:fill="FFFFFF"/>
            <w:noWrap/>
            <w:vAlign w:val="bottom"/>
          </w:tcPr>
          <w:p w14:paraId="07904CC3"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2,03</w:t>
            </w:r>
          </w:p>
        </w:tc>
        <w:tc>
          <w:tcPr>
            <w:tcW w:w="566" w:type="dxa"/>
            <w:tcBorders>
              <w:top w:val="nil"/>
              <w:left w:val="nil"/>
              <w:bottom w:val="nil"/>
              <w:right w:val="nil"/>
            </w:tcBorders>
            <w:shd w:val="clear" w:color="000000" w:fill="FFFFFF"/>
            <w:noWrap/>
            <w:vAlign w:val="bottom"/>
          </w:tcPr>
          <w:p w14:paraId="45DD81F2"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2,04</w:t>
            </w:r>
          </w:p>
        </w:tc>
        <w:tc>
          <w:tcPr>
            <w:tcW w:w="566" w:type="dxa"/>
            <w:tcBorders>
              <w:top w:val="nil"/>
              <w:left w:val="nil"/>
              <w:bottom w:val="nil"/>
              <w:right w:val="nil"/>
            </w:tcBorders>
            <w:shd w:val="clear" w:color="000000" w:fill="FFFFFF"/>
            <w:noWrap/>
            <w:vAlign w:val="bottom"/>
          </w:tcPr>
          <w:p w14:paraId="5DCF0817"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1,93</w:t>
            </w:r>
          </w:p>
        </w:tc>
        <w:tc>
          <w:tcPr>
            <w:tcW w:w="566" w:type="dxa"/>
            <w:tcBorders>
              <w:top w:val="nil"/>
              <w:left w:val="nil"/>
              <w:bottom w:val="nil"/>
              <w:right w:val="nil"/>
            </w:tcBorders>
            <w:shd w:val="clear" w:color="000000" w:fill="FFFFFF"/>
            <w:noWrap/>
            <w:vAlign w:val="bottom"/>
          </w:tcPr>
          <w:p w14:paraId="6A7638C3"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1,92</w:t>
            </w:r>
          </w:p>
        </w:tc>
        <w:tc>
          <w:tcPr>
            <w:tcW w:w="616" w:type="dxa"/>
            <w:tcBorders>
              <w:top w:val="nil"/>
              <w:left w:val="nil"/>
              <w:bottom w:val="nil"/>
              <w:right w:val="single" w:sz="4" w:space="0" w:color="BFBFBF"/>
            </w:tcBorders>
            <w:shd w:val="clear" w:color="000000" w:fill="FFFFFF"/>
            <w:noWrap/>
            <w:vAlign w:val="bottom"/>
          </w:tcPr>
          <w:p w14:paraId="546C8BF2"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1,97</w:t>
            </w:r>
          </w:p>
        </w:tc>
        <w:tc>
          <w:tcPr>
            <w:tcW w:w="666" w:type="dxa"/>
            <w:tcBorders>
              <w:top w:val="nil"/>
              <w:left w:val="nil"/>
              <w:bottom w:val="nil"/>
              <w:right w:val="nil"/>
            </w:tcBorders>
            <w:shd w:val="clear" w:color="000000" w:fill="FFFFFF"/>
            <w:noWrap/>
            <w:vAlign w:val="bottom"/>
            <w:hideMark/>
          </w:tcPr>
          <w:p w14:paraId="6341AD76" w14:textId="77777777" w:rsidR="009418A4" w:rsidRPr="009418A4" w:rsidRDefault="00D02161" w:rsidP="00D02161">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2,60</w:t>
            </w:r>
          </w:p>
        </w:tc>
        <w:tc>
          <w:tcPr>
            <w:tcW w:w="1338" w:type="dxa"/>
            <w:gridSpan w:val="2"/>
            <w:tcBorders>
              <w:top w:val="nil"/>
              <w:left w:val="nil"/>
              <w:bottom w:val="nil"/>
              <w:right w:val="single" w:sz="4" w:space="0" w:color="BFBFBF"/>
            </w:tcBorders>
            <w:shd w:val="clear" w:color="000000" w:fill="FFFFFF"/>
            <w:noWrap/>
            <w:vAlign w:val="bottom"/>
            <w:hideMark/>
          </w:tcPr>
          <w:p w14:paraId="69A86CF1" w14:textId="77777777" w:rsidR="009418A4" w:rsidRPr="009418A4" w:rsidRDefault="00D02161" w:rsidP="009418A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-3,43</w:t>
            </w:r>
          </w:p>
        </w:tc>
      </w:tr>
      <w:tr w:rsidR="009418A4" w:rsidRPr="009418A4" w14:paraId="7DB157C1" w14:textId="77777777" w:rsidTr="00DE5D4D">
        <w:trPr>
          <w:trHeight w:val="90"/>
        </w:trPr>
        <w:tc>
          <w:tcPr>
            <w:tcW w:w="1540" w:type="dxa"/>
            <w:tcBorders>
              <w:top w:val="nil"/>
              <w:left w:val="nil"/>
              <w:bottom w:val="nil"/>
              <w:right w:val="nil"/>
            </w:tcBorders>
            <w:shd w:val="clear" w:color="000000" w:fill="BFBFBF"/>
            <w:noWrap/>
            <w:vAlign w:val="bottom"/>
            <w:hideMark/>
          </w:tcPr>
          <w:p w14:paraId="2778F097"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65B28AA0"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0D7CF7B1"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0E36F36E"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6D258A4A"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95" w:type="dxa"/>
            <w:tcBorders>
              <w:top w:val="nil"/>
              <w:left w:val="nil"/>
              <w:bottom w:val="nil"/>
              <w:right w:val="nil"/>
            </w:tcBorders>
            <w:shd w:val="clear" w:color="000000" w:fill="BFBFBF"/>
            <w:noWrap/>
            <w:vAlign w:val="bottom"/>
            <w:hideMark/>
          </w:tcPr>
          <w:p w14:paraId="54373616"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95" w:type="dxa"/>
            <w:tcBorders>
              <w:top w:val="nil"/>
              <w:left w:val="nil"/>
              <w:bottom w:val="nil"/>
              <w:right w:val="nil"/>
            </w:tcBorders>
            <w:shd w:val="clear" w:color="000000" w:fill="BFBFBF"/>
            <w:noWrap/>
            <w:vAlign w:val="bottom"/>
            <w:hideMark/>
          </w:tcPr>
          <w:p w14:paraId="6522D7E9"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95" w:type="dxa"/>
            <w:tcBorders>
              <w:top w:val="nil"/>
              <w:left w:val="nil"/>
              <w:bottom w:val="nil"/>
              <w:right w:val="nil"/>
            </w:tcBorders>
            <w:shd w:val="clear" w:color="000000" w:fill="BFBFBF"/>
            <w:noWrap/>
            <w:vAlign w:val="bottom"/>
            <w:hideMark/>
          </w:tcPr>
          <w:p w14:paraId="04C1F165"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95" w:type="dxa"/>
            <w:tcBorders>
              <w:top w:val="nil"/>
              <w:left w:val="nil"/>
              <w:bottom w:val="nil"/>
              <w:right w:val="nil"/>
            </w:tcBorders>
            <w:shd w:val="clear" w:color="000000" w:fill="BFBFBF"/>
            <w:noWrap/>
            <w:vAlign w:val="bottom"/>
            <w:hideMark/>
          </w:tcPr>
          <w:p w14:paraId="1F566AD0" w14:textId="77777777" w:rsidR="009418A4" w:rsidRPr="009418A4" w:rsidRDefault="009418A4" w:rsidP="001E596E">
            <w:pPr>
              <w:spacing w:after="0" w:line="240" w:lineRule="auto"/>
              <w:jc w:val="center"/>
              <w:rPr>
                <w:rFonts w:ascii="Times New Roman" w:eastAsia="Times New Roman" w:hAnsi="Times New Roman"/>
                <w:color w:val="FF0000"/>
                <w:sz w:val="20"/>
                <w:szCs w:val="20"/>
                <w:lang w:eastAsia="lt-LT"/>
              </w:rPr>
            </w:pPr>
          </w:p>
        </w:tc>
        <w:tc>
          <w:tcPr>
            <w:tcW w:w="566" w:type="dxa"/>
            <w:tcBorders>
              <w:top w:val="nil"/>
              <w:left w:val="nil"/>
              <w:bottom w:val="nil"/>
              <w:right w:val="nil"/>
            </w:tcBorders>
            <w:shd w:val="clear" w:color="000000" w:fill="BFBFBF"/>
            <w:noWrap/>
            <w:vAlign w:val="bottom"/>
            <w:hideMark/>
          </w:tcPr>
          <w:p w14:paraId="514C6D1A"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7C02597B"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566" w:type="dxa"/>
            <w:tcBorders>
              <w:top w:val="nil"/>
              <w:left w:val="nil"/>
              <w:bottom w:val="nil"/>
              <w:right w:val="nil"/>
            </w:tcBorders>
            <w:shd w:val="clear" w:color="000000" w:fill="BFBFBF"/>
            <w:noWrap/>
            <w:vAlign w:val="bottom"/>
            <w:hideMark/>
          </w:tcPr>
          <w:p w14:paraId="012FB820"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616" w:type="dxa"/>
            <w:tcBorders>
              <w:top w:val="nil"/>
              <w:left w:val="nil"/>
              <w:bottom w:val="nil"/>
              <w:right w:val="nil"/>
            </w:tcBorders>
            <w:shd w:val="clear" w:color="000000" w:fill="BFBFBF"/>
            <w:noWrap/>
            <w:vAlign w:val="bottom"/>
            <w:hideMark/>
          </w:tcPr>
          <w:p w14:paraId="1EB76198"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666" w:type="dxa"/>
            <w:tcBorders>
              <w:top w:val="nil"/>
              <w:left w:val="nil"/>
              <w:bottom w:val="nil"/>
              <w:right w:val="nil"/>
            </w:tcBorders>
            <w:shd w:val="clear" w:color="000000" w:fill="BFBFBF"/>
            <w:noWrap/>
            <w:vAlign w:val="bottom"/>
            <w:hideMark/>
          </w:tcPr>
          <w:p w14:paraId="7C27C002"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c>
          <w:tcPr>
            <w:tcW w:w="1338" w:type="dxa"/>
            <w:gridSpan w:val="2"/>
            <w:tcBorders>
              <w:top w:val="nil"/>
              <w:left w:val="nil"/>
              <w:bottom w:val="nil"/>
              <w:right w:val="nil"/>
            </w:tcBorders>
            <w:shd w:val="clear" w:color="000000" w:fill="BFBFBF"/>
            <w:noWrap/>
            <w:vAlign w:val="bottom"/>
            <w:hideMark/>
          </w:tcPr>
          <w:p w14:paraId="1BFE167C" w14:textId="77777777" w:rsidR="009418A4" w:rsidRPr="009418A4" w:rsidRDefault="009418A4" w:rsidP="009418A4">
            <w:pPr>
              <w:spacing w:after="0" w:line="240" w:lineRule="auto"/>
              <w:rPr>
                <w:rFonts w:ascii="Times New Roman" w:eastAsia="Times New Roman" w:hAnsi="Times New Roman"/>
                <w:color w:val="FF0000"/>
                <w:sz w:val="20"/>
                <w:szCs w:val="20"/>
                <w:lang w:eastAsia="lt-LT"/>
              </w:rPr>
            </w:pPr>
            <w:r w:rsidRPr="009418A4">
              <w:rPr>
                <w:rFonts w:ascii="Times New Roman" w:eastAsia="Times New Roman" w:hAnsi="Times New Roman"/>
                <w:color w:val="FF0000"/>
                <w:sz w:val="20"/>
                <w:szCs w:val="20"/>
                <w:lang w:eastAsia="lt-LT"/>
              </w:rPr>
              <w:t> </w:t>
            </w:r>
          </w:p>
        </w:tc>
      </w:tr>
    </w:tbl>
    <w:p w14:paraId="1780769C" w14:textId="77777777" w:rsidR="00914CD1" w:rsidRDefault="00914CD1" w:rsidP="00526DC7">
      <w:pPr>
        <w:jc w:val="right"/>
        <w:rPr>
          <w:rFonts w:ascii="Times New Roman" w:hAnsi="Times New Roman"/>
          <w:sz w:val="20"/>
          <w:szCs w:val="20"/>
        </w:rPr>
      </w:pPr>
    </w:p>
    <w:p w14:paraId="3652FCF0" w14:textId="77777777" w:rsidR="00526DC7" w:rsidRPr="00526DC7" w:rsidRDefault="009418A4" w:rsidP="00526DC7">
      <w:pPr>
        <w:jc w:val="right"/>
        <w:rPr>
          <w:rFonts w:ascii="Times New Roman" w:hAnsi="Times New Roman"/>
          <w:sz w:val="20"/>
          <w:szCs w:val="20"/>
        </w:rPr>
      </w:pPr>
      <w:r w:rsidRPr="00526DC7">
        <w:rPr>
          <w:rFonts w:ascii="Times New Roman" w:hAnsi="Times New Roman"/>
          <w:sz w:val="20"/>
          <w:szCs w:val="20"/>
        </w:rPr>
        <w:t>Šaltinis:</w:t>
      </w:r>
      <w:r w:rsidR="00526DC7" w:rsidRPr="00526DC7">
        <w:rPr>
          <w:rFonts w:ascii="Times New Roman" w:hAnsi="Times New Roman"/>
          <w:sz w:val="20"/>
          <w:szCs w:val="20"/>
        </w:rPr>
        <w:t xml:space="preserve"> ŽŪIKVC (LŽŪMPRIS)</w:t>
      </w:r>
    </w:p>
    <w:p w14:paraId="28BE5ADB" w14:textId="77777777" w:rsidR="008B7200" w:rsidRDefault="008B7200" w:rsidP="00C2208D">
      <w:pPr>
        <w:spacing w:after="0" w:line="240" w:lineRule="auto"/>
        <w:jc w:val="center"/>
        <w:rPr>
          <w:rFonts w:ascii="Times New Roman" w:eastAsia="Times New Roman" w:hAnsi="Times New Roman"/>
          <w:b/>
          <w:color w:val="000000"/>
          <w:lang w:eastAsia="lt-LT"/>
        </w:rPr>
      </w:pPr>
    </w:p>
    <w:p w14:paraId="29B04AF8" w14:textId="77777777" w:rsidR="008B7200" w:rsidRDefault="008B7200" w:rsidP="00C2208D">
      <w:pPr>
        <w:spacing w:after="0" w:line="240" w:lineRule="auto"/>
        <w:jc w:val="center"/>
        <w:rPr>
          <w:rFonts w:ascii="Times New Roman" w:eastAsia="Times New Roman" w:hAnsi="Times New Roman"/>
          <w:b/>
          <w:color w:val="000000"/>
          <w:lang w:eastAsia="lt-LT"/>
        </w:rPr>
      </w:pPr>
    </w:p>
    <w:p w14:paraId="6B38C38A" w14:textId="441C76CC" w:rsidR="00CF5EA3" w:rsidRDefault="00CF5EA3" w:rsidP="00CF5EA3">
      <w:pPr>
        <w:spacing w:after="0" w:line="360" w:lineRule="auto"/>
        <w:ind w:firstLine="851"/>
        <w:contextualSpacing/>
        <w:jc w:val="both"/>
        <w:rPr>
          <w:rFonts w:ascii="Times New Roman" w:hAnsi="Times New Roman"/>
          <w:sz w:val="24"/>
          <w:szCs w:val="24"/>
        </w:rPr>
      </w:pPr>
      <w:r w:rsidRPr="00CB0DB9">
        <w:rPr>
          <w:rFonts w:ascii="Times New Roman" w:hAnsi="Times New Roman"/>
          <w:sz w:val="24"/>
          <w:szCs w:val="24"/>
        </w:rPr>
        <w:t xml:space="preserve">2019 m. I ketvirtį šalies skerdyklose buvo paskersta </w:t>
      </w:r>
      <w:r>
        <w:rPr>
          <w:rFonts w:ascii="Times New Roman" w:hAnsi="Times New Roman"/>
          <w:sz w:val="24"/>
          <w:szCs w:val="24"/>
        </w:rPr>
        <w:t>13,75</w:t>
      </w:r>
      <w:r w:rsidRPr="00CB0DB9">
        <w:rPr>
          <w:rFonts w:ascii="Times New Roman" w:hAnsi="Times New Roman"/>
          <w:sz w:val="24"/>
          <w:szCs w:val="24"/>
        </w:rPr>
        <w:t xml:space="preserve"> </w:t>
      </w:r>
      <w:r>
        <w:rPr>
          <w:rFonts w:ascii="Times New Roman" w:hAnsi="Times New Roman"/>
          <w:sz w:val="24"/>
          <w:szCs w:val="24"/>
        </w:rPr>
        <w:t>mln. viščiukų broilerių</w:t>
      </w:r>
      <w:r w:rsidRPr="00CB0DB9">
        <w:rPr>
          <w:rFonts w:ascii="Times New Roman" w:hAnsi="Times New Roman"/>
          <w:sz w:val="24"/>
          <w:szCs w:val="24"/>
        </w:rPr>
        <w:t xml:space="preserve"> – </w:t>
      </w:r>
      <w:r>
        <w:rPr>
          <w:rFonts w:ascii="Times New Roman" w:hAnsi="Times New Roman"/>
          <w:sz w:val="24"/>
          <w:szCs w:val="24"/>
        </w:rPr>
        <w:t>7,2</w:t>
      </w:r>
      <w:r w:rsidRPr="00CB0DB9">
        <w:rPr>
          <w:rFonts w:ascii="Times New Roman" w:hAnsi="Times New Roman"/>
          <w:sz w:val="24"/>
          <w:szCs w:val="24"/>
        </w:rPr>
        <w:t xml:space="preserve"> proc. </w:t>
      </w:r>
      <w:r>
        <w:rPr>
          <w:rFonts w:ascii="Times New Roman" w:hAnsi="Times New Roman"/>
          <w:sz w:val="24"/>
          <w:szCs w:val="24"/>
        </w:rPr>
        <w:t>mažiau</w:t>
      </w:r>
      <w:r w:rsidRPr="00CB0DB9">
        <w:rPr>
          <w:rFonts w:ascii="Times New Roman" w:hAnsi="Times New Roman"/>
          <w:sz w:val="24"/>
          <w:szCs w:val="24"/>
        </w:rPr>
        <w:t xml:space="preserve"> nei 2018 m. </w:t>
      </w:r>
      <w:r>
        <w:rPr>
          <w:rFonts w:ascii="Times New Roman" w:hAnsi="Times New Roman"/>
          <w:sz w:val="24"/>
          <w:szCs w:val="24"/>
        </w:rPr>
        <w:t>IV ketvirtį, tačiau  1,0 proc. daugiau nei 2018 m. I ketvirtį. Remiantis naujausiais Eurostat</w:t>
      </w:r>
      <w:r w:rsidR="00213D26">
        <w:rPr>
          <w:rFonts w:ascii="Times New Roman" w:hAnsi="Times New Roman"/>
          <w:sz w:val="24"/>
          <w:szCs w:val="24"/>
        </w:rPr>
        <w:t>o</w:t>
      </w:r>
      <w:r>
        <w:rPr>
          <w:rFonts w:ascii="Times New Roman" w:hAnsi="Times New Roman"/>
          <w:sz w:val="24"/>
          <w:szCs w:val="24"/>
        </w:rPr>
        <w:t xml:space="preserve"> duomenimis, 2019 sausio</w:t>
      </w:r>
      <w:r w:rsidRPr="00CB0DB9">
        <w:rPr>
          <w:rFonts w:ascii="Times New Roman" w:hAnsi="Times New Roman"/>
          <w:sz w:val="24"/>
          <w:szCs w:val="24"/>
        </w:rPr>
        <w:t>–</w:t>
      </w:r>
      <w:r>
        <w:rPr>
          <w:rFonts w:ascii="Times New Roman" w:hAnsi="Times New Roman"/>
          <w:sz w:val="24"/>
          <w:szCs w:val="24"/>
        </w:rPr>
        <w:t xml:space="preserve">vasario mėn., palyginti su tuo pačiu praėjusių metų laikotarpiu, Latvijoje viščiukų broilerių skerdimai padidėjo 8,4 proc., o Lenkijoje </w:t>
      </w:r>
      <w:r w:rsidRPr="00CB0DB9">
        <w:rPr>
          <w:rFonts w:ascii="Times New Roman" w:hAnsi="Times New Roman"/>
          <w:sz w:val="24"/>
          <w:szCs w:val="24"/>
        </w:rPr>
        <w:t>–</w:t>
      </w:r>
      <w:r>
        <w:rPr>
          <w:rFonts w:ascii="Times New Roman" w:hAnsi="Times New Roman"/>
          <w:sz w:val="24"/>
          <w:szCs w:val="24"/>
        </w:rPr>
        <w:t xml:space="preserve"> 3,8 proc.</w:t>
      </w:r>
    </w:p>
    <w:p w14:paraId="7BB26EDA" w14:textId="77777777" w:rsidR="008B7200" w:rsidRDefault="008B7200" w:rsidP="00C2208D">
      <w:pPr>
        <w:spacing w:after="0" w:line="240" w:lineRule="auto"/>
        <w:jc w:val="center"/>
        <w:rPr>
          <w:rFonts w:ascii="Times New Roman" w:eastAsia="Times New Roman" w:hAnsi="Times New Roman"/>
          <w:b/>
          <w:color w:val="000000"/>
          <w:lang w:eastAsia="lt-LT"/>
        </w:rPr>
      </w:pPr>
    </w:p>
    <w:p w14:paraId="0753ACCA" w14:textId="77777777" w:rsidR="008B7200" w:rsidRDefault="008B7200" w:rsidP="00C2208D">
      <w:pPr>
        <w:spacing w:after="0" w:line="240" w:lineRule="auto"/>
        <w:jc w:val="center"/>
        <w:rPr>
          <w:rFonts w:ascii="Times New Roman" w:eastAsia="Times New Roman" w:hAnsi="Times New Roman"/>
          <w:b/>
          <w:color w:val="000000"/>
          <w:lang w:eastAsia="lt-LT"/>
        </w:rPr>
      </w:pPr>
    </w:p>
    <w:p w14:paraId="30188425" w14:textId="77777777" w:rsidR="008B7200" w:rsidRDefault="008B7200" w:rsidP="00C2208D">
      <w:pPr>
        <w:spacing w:after="0" w:line="240" w:lineRule="auto"/>
        <w:jc w:val="center"/>
        <w:rPr>
          <w:rFonts w:ascii="Times New Roman" w:eastAsia="Times New Roman" w:hAnsi="Times New Roman"/>
          <w:b/>
          <w:color w:val="000000"/>
          <w:lang w:eastAsia="lt-LT"/>
        </w:rPr>
      </w:pPr>
    </w:p>
    <w:p w14:paraId="37925336" w14:textId="77777777" w:rsidR="008B7200" w:rsidRDefault="008B7200" w:rsidP="00C2208D">
      <w:pPr>
        <w:spacing w:after="0" w:line="240" w:lineRule="auto"/>
        <w:jc w:val="center"/>
        <w:rPr>
          <w:rFonts w:ascii="Times New Roman" w:eastAsia="Times New Roman" w:hAnsi="Times New Roman"/>
          <w:b/>
          <w:color w:val="000000"/>
          <w:lang w:eastAsia="lt-LT"/>
        </w:rPr>
      </w:pPr>
    </w:p>
    <w:p w14:paraId="038F1B4F" w14:textId="77777777" w:rsidR="008B7200" w:rsidRDefault="008B7200" w:rsidP="00C2208D">
      <w:pPr>
        <w:spacing w:after="0" w:line="240" w:lineRule="auto"/>
        <w:jc w:val="center"/>
        <w:rPr>
          <w:rFonts w:ascii="Times New Roman" w:eastAsia="Times New Roman" w:hAnsi="Times New Roman"/>
          <w:b/>
          <w:color w:val="000000"/>
          <w:lang w:eastAsia="lt-LT"/>
        </w:rPr>
      </w:pPr>
    </w:p>
    <w:p w14:paraId="24174D43" w14:textId="77777777" w:rsidR="008B7200" w:rsidRDefault="008B7200" w:rsidP="00C2208D">
      <w:pPr>
        <w:spacing w:after="0" w:line="240" w:lineRule="auto"/>
        <w:jc w:val="center"/>
        <w:rPr>
          <w:rFonts w:ascii="Times New Roman" w:eastAsia="Times New Roman" w:hAnsi="Times New Roman"/>
          <w:b/>
          <w:color w:val="000000"/>
          <w:lang w:eastAsia="lt-LT"/>
        </w:rPr>
      </w:pPr>
    </w:p>
    <w:p w14:paraId="2CFBD995" w14:textId="77777777" w:rsidR="00C2208D" w:rsidRDefault="00C2208D" w:rsidP="00C2208D">
      <w:pPr>
        <w:spacing w:after="0" w:line="240" w:lineRule="auto"/>
        <w:rPr>
          <w:rFonts w:ascii="Times New Roman" w:eastAsia="Times New Roman" w:hAnsi="Times New Roman"/>
          <w:b/>
          <w:color w:val="000000"/>
          <w:lang w:eastAsia="lt-LT"/>
        </w:rPr>
      </w:pPr>
    </w:p>
    <w:p w14:paraId="54D70597" w14:textId="77777777" w:rsidR="00C2208D" w:rsidRDefault="00C2208D" w:rsidP="00C2208D">
      <w:pPr>
        <w:spacing w:after="0" w:line="240" w:lineRule="auto"/>
        <w:jc w:val="center"/>
        <w:rPr>
          <w:rFonts w:ascii="Times New Roman" w:eastAsia="Times New Roman" w:hAnsi="Times New Roman"/>
          <w:b/>
          <w:color w:val="000000"/>
          <w:lang w:eastAsia="lt-LT"/>
        </w:rPr>
      </w:pPr>
    </w:p>
    <w:p w14:paraId="57FE513D" w14:textId="77777777" w:rsidR="00C2208D" w:rsidRDefault="00C2208D" w:rsidP="00C2208D">
      <w:pPr>
        <w:spacing w:after="0" w:line="240" w:lineRule="auto"/>
        <w:jc w:val="center"/>
        <w:rPr>
          <w:rFonts w:ascii="Times New Roman" w:eastAsia="Times New Roman" w:hAnsi="Times New Roman"/>
          <w:b/>
          <w:color w:val="000000"/>
          <w:lang w:eastAsia="lt-LT"/>
        </w:rPr>
      </w:pPr>
    </w:p>
    <w:p w14:paraId="527F73C4" w14:textId="77777777" w:rsidR="00C2208D" w:rsidRPr="00CB0DB9" w:rsidRDefault="00C2208D" w:rsidP="00C2208D">
      <w:pPr>
        <w:spacing w:after="0" w:line="240" w:lineRule="auto"/>
        <w:jc w:val="center"/>
        <w:rPr>
          <w:rFonts w:ascii="Times New Roman" w:eastAsia="Times New Roman" w:hAnsi="Times New Roman"/>
          <w:b/>
          <w:color w:val="000000"/>
          <w:sz w:val="24"/>
          <w:szCs w:val="24"/>
          <w:lang w:eastAsia="lt-LT"/>
        </w:rPr>
      </w:pPr>
    </w:p>
    <w:p w14:paraId="7E89018A" w14:textId="77777777" w:rsidR="00CF5EA3" w:rsidRPr="00CF5EA3" w:rsidRDefault="00CF5EA3" w:rsidP="00CF5EA3">
      <w:pPr>
        <w:spacing w:after="0" w:line="240" w:lineRule="auto"/>
        <w:jc w:val="both"/>
        <w:rPr>
          <w:rFonts w:ascii="Times New Roman" w:eastAsia="Times New Roman" w:hAnsi="Times New Roman"/>
          <w:b/>
          <w:bCs/>
          <w:color w:val="000000"/>
          <w:lang w:eastAsia="lt-LT"/>
        </w:rPr>
      </w:pPr>
      <w:r>
        <w:rPr>
          <w:rFonts w:ascii="Times New Roman" w:eastAsia="Times New Roman" w:hAnsi="Times New Roman"/>
          <w:b/>
          <w:bCs/>
          <w:color w:val="000000"/>
          <w:lang w:eastAsia="lt-LT"/>
        </w:rPr>
        <w:t xml:space="preserve">  </w:t>
      </w:r>
    </w:p>
    <w:p w14:paraId="690CF514" w14:textId="77777777" w:rsidR="00282B36" w:rsidRDefault="00BD7BDE" w:rsidP="00261B0F">
      <w:pPr>
        <w:spacing w:after="0" w:line="360" w:lineRule="auto"/>
        <w:contextualSpacing/>
        <w:rPr>
          <w:rFonts w:ascii="Times New Roman" w:eastAsia="Times New Roman" w:hAnsi="Times New Roman"/>
          <w:b/>
          <w:bCs/>
          <w:lang w:eastAsia="lt-LT"/>
        </w:rPr>
      </w:pPr>
      <w:r>
        <w:rPr>
          <w:noProof/>
          <w:lang w:val="en-US"/>
        </w:rPr>
        <w:lastRenderedPageBreak/>
        <w:drawing>
          <wp:inline distT="0" distB="0" distL="0" distR="0" wp14:anchorId="4D39BD14" wp14:editId="3B178687">
            <wp:extent cx="6438900" cy="2724150"/>
            <wp:effectExtent l="0" t="0" r="0" b="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82B36">
        <w:rPr>
          <w:rFonts w:ascii="Times New Roman" w:eastAsia="Times New Roman" w:hAnsi="Times New Roman"/>
          <w:b/>
          <w:bCs/>
          <w:lang w:eastAsia="lt-LT"/>
        </w:rPr>
        <w:t xml:space="preserve">  </w:t>
      </w:r>
    </w:p>
    <w:p w14:paraId="3122FA7A" w14:textId="77777777" w:rsidR="00282B36" w:rsidRDefault="00282B36" w:rsidP="00282B36">
      <w:pPr>
        <w:spacing w:after="0" w:line="360" w:lineRule="auto"/>
        <w:ind w:firstLine="851"/>
        <w:contextualSpacing/>
        <w:jc w:val="center"/>
        <w:rPr>
          <w:rFonts w:ascii="Times New Roman" w:eastAsia="Times New Roman" w:hAnsi="Times New Roman"/>
          <w:b/>
          <w:bCs/>
          <w:lang w:eastAsia="lt-LT"/>
        </w:rPr>
      </w:pPr>
    </w:p>
    <w:p w14:paraId="25EFD79D" w14:textId="77777777" w:rsidR="00282B36" w:rsidRPr="00282B36" w:rsidRDefault="00282B36" w:rsidP="00282B36">
      <w:pPr>
        <w:spacing w:after="0" w:line="360" w:lineRule="auto"/>
        <w:ind w:firstLine="851"/>
        <w:contextualSpacing/>
        <w:jc w:val="right"/>
        <w:rPr>
          <w:rFonts w:ascii="Times New Roman" w:eastAsia="Times New Roman" w:hAnsi="Times New Roman"/>
          <w:color w:val="C00000"/>
          <w:sz w:val="24"/>
          <w:szCs w:val="24"/>
          <w:lang w:eastAsia="lt-LT"/>
        </w:rPr>
      </w:pPr>
      <w:r>
        <w:rPr>
          <w:rFonts w:ascii="Times New Roman" w:eastAsia="Times New Roman" w:hAnsi="Times New Roman" w:cs="Calibri"/>
          <w:color w:val="000000"/>
          <w:lang w:eastAsia="lt-LT"/>
        </w:rPr>
        <w:t>Šaltinis</w:t>
      </w:r>
      <w:r w:rsidRPr="00937F45">
        <w:rPr>
          <w:rFonts w:ascii="Times New Roman" w:eastAsia="Times New Roman" w:hAnsi="Times New Roman" w:cs="Calibri"/>
          <w:color w:val="000000"/>
          <w:lang w:eastAsia="lt-LT"/>
        </w:rPr>
        <w:t>: ŽŪIKVC (LŽŪMPRIS)</w:t>
      </w:r>
    </w:p>
    <w:p w14:paraId="7D2F6BD6" w14:textId="77777777" w:rsidR="00BD7BDE" w:rsidRPr="002F17D8" w:rsidRDefault="00BD7BDE" w:rsidP="009F08D6">
      <w:pPr>
        <w:spacing w:after="0" w:line="360" w:lineRule="auto"/>
        <w:contextualSpacing/>
        <w:jc w:val="both"/>
        <w:rPr>
          <w:rFonts w:ascii="Times New Roman" w:eastAsia="Times New Roman" w:hAnsi="Times New Roman"/>
          <w:color w:val="C00000"/>
          <w:sz w:val="24"/>
          <w:szCs w:val="24"/>
          <w:lang w:eastAsia="lt-LT"/>
        </w:rPr>
      </w:pPr>
    </w:p>
    <w:p w14:paraId="1F48EDBA" w14:textId="13064070" w:rsidR="00292320" w:rsidRDefault="009F08D6" w:rsidP="00292320">
      <w:pPr>
        <w:autoSpaceDE w:val="0"/>
        <w:autoSpaceDN w:val="0"/>
        <w:adjustRightInd w:val="0"/>
        <w:spacing w:after="0" w:line="360" w:lineRule="auto"/>
        <w:ind w:firstLine="851"/>
        <w:contextualSpacing/>
        <w:jc w:val="both"/>
        <w:rPr>
          <w:rFonts w:ascii="Times New Roman" w:hAnsi="Times New Roman"/>
          <w:sz w:val="24"/>
          <w:szCs w:val="24"/>
        </w:rPr>
      </w:pPr>
      <w:r>
        <w:rPr>
          <w:rFonts w:ascii="Times New Roman" w:hAnsi="Times New Roman"/>
          <w:sz w:val="24"/>
          <w:szCs w:val="24"/>
        </w:rPr>
        <w:t>Viščiukų broilerių gam</w:t>
      </w:r>
      <w:r w:rsidR="00A31BB3">
        <w:rPr>
          <w:rFonts w:ascii="Times New Roman" w:hAnsi="Times New Roman"/>
          <w:sz w:val="24"/>
          <w:szCs w:val="24"/>
        </w:rPr>
        <w:t>intojo kaina 2019 m. I ketvirtį</w:t>
      </w:r>
      <w:r w:rsidR="00F10FBC">
        <w:rPr>
          <w:rFonts w:ascii="Times New Roman" w:hAnsi="Times New Roman"/>
          <w:sz w:val="24"/>
          <w:szCs w:val="24"/>
        </w:rPr>
        <w:t>,</w:t>
      </w:r>
      <w:r w:rsidR="000E73CB">
        <w:rPr>
          <w:rFonts w:ascii="Times New Roman" w:hAnsi="Times New Roman"/>
          <w:sz w:val="24"/>
          <w:szCs w:val="24"/>
        </w:rPr>
        <w:t xml:space="preserve"> </w:t>
      </w:r>
      <w:r w:rsidR="00A31BB3">
        <w:rPr>
          <w:rFonts w:ascii="Times New Roman" w:hAnsi="Times New Roman"/>
          <w:sz w:val="24"/>
          <w:szCs w:val="24"/>
        </w:rPr>
        <w:t>palyginti su 20</w:t>
      </w:r>
      <w:r w:rsidR="00F10FBC">
        <w:rPr>
          <w:rFonts w:ascii="Times New Roman" w:hAnsi="Times New Roman"/>
          <w:sz w:val="24"/>
          <w:szCs w:val="24"/>
        </w:rPr>
        <w:t>18 m</w:t>
      </w:r>
      <w:r w:rsidR="000E73CB">
        <w:rPr>
          <w:rFonts w:ascii="Times New Roman" w:hAnsi="Times New Roman"/>
          <w:sz w:val="24"/>
          <w:szCs w:val="24"/>
        </w:rPr>
        <w:t>. I</w:t>
      </w:r>
      <w:r w:rsidR="00A31BB3">
        <w:rPr>
          <w:rFonts w:ascii="Times New Roman" w:hAnsi="Times New Roman"/>
          <w:sz w:val="24"/>
          <w:szCs w:val="24"/>
        </w:rPr>
        <w:t>V ketvirčiu</w:t>
      </w:r>
      <w:r w:rsidR="00213D26">
        <w:rPr>
          <w:rFonts w:ascii="Times New Roman" w:hAnsi="Times New Roman"/>
          <w:sz w:val="24"/>
          <w:szCs w:val="24"/>
        </w:rPr>
        <w:t>,</w:t>
      </w:r>
      <w:r w:rsidR="00A31BB3">
        <w:rPr>
          <w:rFonts w:ascii="Times New Roman" w:hAnsi="Times New Roman"/>
          <w:sz w:val="24"/>
          <w:szCs w:val="24"/>
        </w:rPr>
        <w:t xml:space="preserve"> padidėjo 2,01 proc.</w:t>
      </w:r>
      <w:r w:rsidR="000E73CB">
        <w:rPr>
          <w:rFonts w:ascii="Times New Roman" w:hAnsi="Times New Roman"/>
          <w:sz w:val="24"/>
          <w:szCs w:val="24"/>
        </w:rPr>
        <w:t xml:space="preserve"> ir buvo 5,56 proc. aukštesnė nei prieš metus. Labiausiai tarp kaimyninių valstybių analizuojamu laikotarpiu kainos </w:t>
      </w:r>
      <w:r w:rsidR="00A31BB3">
        <w:rPr>
          <w:rFonts w:ascii="Times New Roman" w:hAnsi="Times New Roman"/>
          <w:sz w:val="24"/>
          <w:szCs w:val="24"/>
        </w:rPr>
        <w:t xml:space="preserve">didėjo </w:t>
      </w:r>
      <w:r w:rsidR="000E73CB">
        <w:rPr>
          <w:rFonts w:ascii="Times New Roman" w:hAnsi="Times New Roman"/>
          <w:sz w:val="24"/>
          <w:szCs w:val="24"/>
        </w:rPr>
        <w:t xml:space="preserve">Lenkijoje. </w:t>
      </w:r>
      <w:r w:rsidR="00213D26">
        <w:rPr>
          <w:rFonts w:ascii="Times New Roman" w:hAnsi="Times New Roman"/>
          <w:sz w:val="24"/>
          <w:szCs w:val="24"/>
        </w:rPr>
        <w:t>O</w:t>
      </w:r>
      <w:r w:rsidR="000E73CB">
        <w:rPr>
          <w:rFonts w:ascii="Times New Roman" w:hAnsi="Times New Roman"/>
          <w:sz w:val="24"/>
          <w:szCs w:val="24"/>
        </w:rPr>
        <w:t xml:space="preserve"> vidutinė didmeninė kaina ES valstybėse 2019 m. I ketvirtį, palyginti su 2018 m.  ketvirčiu</w:t>
      </w:r>
      <w:r w:rsidR="00213D26">
        <w:rPr>
          <w:rFonts w:ascii="Times New Roman" w:hAnsi="Times New Roman"/>
          <w:sz w:val="24"/>
          <w:szCs w:val="24"/>
        </w:rPr>
        <w:t>,</w:t>
      </w:r>
      <w:r w:rsidR="000E73CB">
        <w:rPr>
          <w:rFonts w:ascii="Times New Roman" w:hAnsi="Times New Roman"/>
          <w:sz w:val="24"/>
          <w:szCs w:val="24"/>
        </w:rPr>
        <w:t xml:space="preserve"> sumažėjo -0,54 proc. </w:t>
      </w:r>
    </w:p>
    <w:p w14:paraId="4BD4AB26" w14:textId="77777777" w:rsidR="000E73CB" w:rsidRDefault="000E73CB" w:rsidP="00A07857">
      <w:pPr>
        <w:autoSpaceDE w:val="0"/>
        <w:autoSpaceDN w:val="0"/>
        <w:adjustRightInd w:val="0"/>
        <w:spacing w:after="0" w:line="360" w:lineRule="auto"/>
        <w:ind w:firstLine="851"/>
        <w:contextualSpacing/>
        <w:jc w:val="both"/>
        <w:rPr>
          <w:rFonts w:ascii="Times New Roman" w:hAnsi="Times New Roman"/>
          <w:sz w:val="24"/>
          <w:szCs w:val="24"/>
        </w:rPr>
      </w:pPr>
      <w:r>
        <w:rPr>
          <w:rFonts w:ascii="Times New Roman" w:hAnsi="Times New Roman"/>
          <w:sz w:val="24"/>
          <w:szCs w:val="24"/>
        </w:rPr>
        <w:t>Prognozuojama, kad</w:t>
      </w:r>
      <w:r w:rsidR="00213D26">
        <w:rPr>
          <w:rFonts w:ascii="Times New Roman" w:hAnsi="Times New Roman"/>
          <w:sz w:val="24"/>
          <w:szCs w:val="24"/>
        </w:rPr>
        <w:t>,</w:t>
      </w:r>
      <w:r>
        <w:rPr>
          <w:rFonts w:ascii="Times New Roman" w:hAnsi="Times New Roman"/>
          <w:sz w:val="24"/>
          <w:szCs w:val="24"/>
        </w:rPr>
        <w:t xml:space="preserve"> išaugus savikainai ir padidėju</w:t>
      </w:r>
      <w:r w:rsidR="00F212AB">
        <w:rPr>
          <w:rFonts w:ascii="Times New Roman" w:hAnsi="Times New Roman"/>
          <w:sz w:val="24"/>
          <w:szCs w:val="24"/>
        </w:rPr>
        <w:t>s</w:t>
      </w:r>
      <w:r>
        <w:rPr>
          <w:rFonts w:ascii="Times New Roman" w:hAnsi="Times New Roman"/>
          <w:sz w:val="24"/>
          <w:szCs w:val="24"/>
        </w:rPr>
        <w:t xml:space="preserve"> didmeninėms kainoms kaimyninėse ša</w:t>
      </w:r>
      <w:r w:rsidR="00F212AB">
        <w:rPr>
          <w:rFonts w:ascii="Times New Roman" w:hAnsi="Times New Roman"/>
          <w:sz w:val="24"/>
          <w:szCs w:val="24"/>
        </w:rPr>
        <w:t>l</w:t>
      </w:r>
      <w:r>
        <w:rPr>
          <w:rFonts w:ascii="Times New Roman" w:hAnsi="Times New Roman"/>
          <w:sz w:val="24"/>
          <w:szCs w:val="24"/>
        </w:rPr>
        <w:t xml:space="preserve">yse, </w:t>
      </w:r>
      <w:r w:rsidR="00D06AC8">
        <w:rPr>
          <w:rFonts w:ascii="Times New Roman" w:hAnsi="Times New Roman"/>
          <w:sz w:val="24"/>
          <w:szCs w:val="24"/>
        </w:rPr>
        <w:t xml:space="preserve"> L</w:t>
      </w:r>
      <w:r>
        <w:rPr>
          <w:rFonts w:ascii="Times New Roman" w:hAnsi="Times New Roman"/>
          <w:sz w:val="24"/>
          <w:szCs w:val="24"/>
        </w:rPr>
        <w:t>i</w:t>
      </w:r>
      <w:r w:rsidR="00D06AC8">
        <w:rPr>
          <w:rFonts w:ascii="Times New Roman" w:hAnsi="Times New Roman"/>
          <w:sz w:val="24"/>
          <w:szCs w:val="24"/>
        </w:rPr>
        <w:t>e</w:t>
      </w:r>
      <w:r>
        <w:rPr>
          <w:rFonts w:ascii="Times New Roman" w:hAnsi="Times New Roman"/>
          <w:sz w:val="24"/>
          <w:szCs w:val="24"/>
        </w:rPr>
        <w:t xml:space="preserve">tuvoje </w:t>
      </w:r>
      <w:r w:rsidR="00D06AC8">
        <w:rPr>
          <w:rFonts w:ascii="Times New Roman" w:hAnsi="Times New Roman"/>
          <w:sz w:val="24"/>
          <w:szCs w:val="24"/>
        </w:rPr>
        <w:t>atvėsinto viščiuko broilerio gamintoj</w:t>
      </w:r>
      <w:r w:rsidR="00292320">
        <w:rPr>
          <w:rFonts w:ascii="Times New Roman" w:hAnsi="Times New Roman"/>
          <w:sz w:val="24"/>
          <w:szCs w:val="24"/>
        </w:rPr>
        <w:t>o kaina turėtų šiek tiek didėti.</w:t>
      </w:r>
    </w:p>
    <w:p w14:paraId="38B69B95" w14:textId="77777777" w:rsidR="00441920" w:rsidRDefault="00441920" w:rsidP="00A07857">
      <w:pPr>
        <w:autoSpaceDE w:val="0"/>
        <w:autoSpaceDN w:val="0"/>
        <w:adjustRightInd w:val="0"/>
        <w:spacing w:after="0" w:line="360" w:lineRule="auto"/>
        <w:ind w:firstLine="851"/>
        <w:contextualSpacing/>
        <w:jc w:val="both"/>
        <w:rPr>
          <w:rFonts w:ascii="Times New Roman" w:hAnsi="Times New Roman"/>
          <w:sz w:val="24"/>
          <w:szCs w:val="24"/>
        </w:rPr>
      </w:pPr>
    </w:p>
    <w:p w14:paraId="507B879B" w14:textId="77777777" w:rsidR="00F10FBC" w:rsidRDefault="00F10FBC" w:rsidP="00CF6CE3">
      <w:pPr>
        <w:spacing w:after="0" w:line="240" w:lineRule="auto"/>
        <w:jc w:val="center"/>
        <w:rPr>
          <w:rFonts w:ascii="Times New Roman" w:eastAsia="Times New Roman" w:hAnsi="Times New Roman"/>
          <w:b/>
          <w:bCs/>
          <w:sz w:val="24"/>
          <w:szCs w:val="24"/>
        </w:rPr>
      </w:pPr>
      <w:r w:rsidRPr="00CF6CE3">
        <w:rPr>
          <w:rFonts w:ascii="Times New Roman" w:eastAsia="Times New Roman" w:hAnsi="Times New Roman"/>
          <w:b/>
          <w:bCs/>
          <w:sz w:val="24"/>
          <w:szCs w:val="24"/>
        </w:rPr>
        <w:t>Vidutinės didmeninės atvėsintų viščiukų broilerių kainos kai kuriose Europos valstybėse 2018 m. ir 2018 m. I ketv.</w:t>
      </w:r>
      <w:r w:rsidR="00213D26">
        <w:rPr>
          <w:rFonts w:ascii="Times New Roman" w:eastAsia="Times New Roman" w:hAnsi="Times New Roman"/>
          <w:b/>
          <w:bCs/>
          <w:sz w:val="24"/>
          <w:szCs w:val="24"/>
        </w:rPr>
        <w:t xml:space="preserve"> </w:t>
      </w:r>
      <w:r w:rsidRPr="00CF6CE3">
        <w:rPr>
          <w:rFonts w:ascii="Times New Roman" w:eastAsia="Times New Roman" w:hAnsi="Times New Roman"/>
          <w:b/>
          <w:bCs/>
          <w:sz w:val="24"/>
          <w:szCs w:val="24"/>
        </w:rPr>
        <w:t>–</w:t>
      </w:r>
      <w:r w:rsidR="00213D26">
        <w:rPr>
          <w:rFonts w:ascii="Times New Roman" w:eastAsia="Times New Roman" w:hAnsi="Times New Roman"/>
          <w:b/>
          <w:bCs/>
          <w:sz w:val="24"/>
          <w:szCs w:val="24"/>
        </w:rPr>
        <w:t xml:space="preserve"> </w:t>
      </w:r>
      <w:r w:rsidRPr="00CF6CE3">
        <w:rPr>
          <w:rFonts w:ascii="Times New Roman" w:eastAsia="Times New Roman" w:hAnsi="Times New Roman"/>
          <w:b/>
          <w:bCs/>
          <w:sz w:val="24"/>
          <w:szCs w:val="24"/>
        </w:rPr>
        <w:t>2019 m. I ketv., EUR/100 kg</w:t>
      </w:r>
    </w:p>
    <w:p w14:paraId="2E0E3567" w14:textId="77777777" w:rsidR="00441920" w:rsidRDefault="00441920" w:rsidP="00CF6CE3">
      <w:pPr>
        <w:spacing w:after="0" w:line="240" w:lineRule="auto"/>
        <w:jc w:val="center"/>
        <w:rPr>
          <w:rFonts w:ascii="Times New Roman" w:eastAsia="Times New Roman" w:hAnsi="Times New Roman"/>
          <w:b/>
          <w:bCs/>
          <w:sz w:val="24"/>
          <w:szCs w:val="24"/>
        </w:rPr>
      </w:pPr>
    </w:p>
    <w:p w14:paraId="72238010" w14:textId="77777777" w:rsidR="00441920" w:rsidRPr="00CF6CE3" w:rsidRDefault="00441920" w:rsidP="00CF6CE3">
      <w:pPr>
        <w:spacing w:after="0" w:line="240" w:lineRule="auto"/>
        <w:jc w:val="center"/>
        <w:rPr>
          <w:rFonts w:ascii="Times New Roman" w:eastAsia="Times New Roman" w:hAnsi="Times New Roman"/>
          <w:b/>
          <w:bCs/>
          <w:sz w:val="24"/>
          <w:szCs w:val="24"/>
        </w:rPr>
      </w:pPr>
    </w:p>
    <w:p w14:paraId="56F4E93C" w14:textId="77777777" w:rsidR="00F10FBC" w:rsidRPr="00F10FBC" w:rsidRDefault="00441920" w:rsidP="00F10FBC">
      <w:pPr>
        <w:jc w:val="both"/>
        <w:rPr>
          <w:rFonts w:ascii="Times New Roman" w:eastAsiaTheme="minorHAnsi" w:hAnsi="Times New Roman"/>
          <w:sz w:val="24"/>
          <w:szCs w:val="24"/>
        </w:rPr>
      </w:pPr>
      <w:r w:rsidRPr="00441920">
        <w:rPr>
          <w:rFonts w:ascii="Times New Roman" w:eastAsiaTheme="minorHAnsi" w:hAnsi="Times New Roman"/>
          <w:noProof/>
          <w:sz w:val="24"/>
          <w:szCs w:val="24"/>
          <w:lang w:val="en-US"/>
        </w:rPr>
        <w:drawing>
          <wp:inline distT="0" distB="0" distL="0" distR="0" wp14:anchorId="1090AFDA" wp14:editId="19B70AA0">
            <wp:extent cx="6840220" cy="1292042"/>
            <wp:effectExtent l="0" t="0" r="0" b="3810"/>
            <wp:docPr id="7" name="Paveikslėlis 7" descr="C:\Users\agata\Documents\Informaciniai pranešimai\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ata\Documents\Informaciniai pranešimai\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1292042"/>
                    </a:xfrm>
                    <a:prstGeom prst="rect">
                      <a:avLst/>
                    </a:prstGeom>
                    <a:noFill/>
                    <a:ln>
                      <a:noFill/>
                    </a:ln>
                  </pic:spPr>
                </pic:pic>
              </a:graphicData>
            </a:graphic>
          </wp:inline>
        </w:drawing>
      </w:r>
    </w:p>
    <w:p w14:paraId="0CA493B8" w14:textId="77777777" w:rsidR="00F10FBC" w:rsidRDefault="00F10FBC" w:rsidP="00A07857">
      <w:pPr>
        <w:autoSpaceDE w:val="0"/>
        <w:autoSpaceDN w:val="0"/>
        <w:adjustRightInd w:val="0"/>
        <w:spacing w:after="0" w:line="360" w:lineRule="auto"/>
        <w:ind w:firstLine="851"/>
        <w:contextualSpacing/>
        <w:jc w:val="both"/>
        <w:rPr>
          <w:rFonts w:ascii="Times New Roman" w:hAnsi="Times New Roman"/>
          <w:sz w:val="24"/>
          <w:szCs w:val="24"/>
        </w:rPr>
      </w:pPr>
    </w:p>
    <w:p w14:paraId="20C3A30E" w14:textId="77777777" w:rsidR="00CF6CE3" w:rsidRPr="00526DC7" w:rsidRDefault="00CF6CE3" w:rsidP="00CF6CE3">
      <w:pPr>
        <w:jc w:val="right"/>
        <w:rPr>
          <w:rFonts w:ascii="Times New Roman" w:hAnsi="Times New Roman"/>
          <w:sz w:val="20"/>
          <w:szCs w:val="20"/>
        </w:rPr>
      </w:pPr>
      <w:r>
        <w:rPr>
          <w:rFonts w:ascii="Times New Roman" w:hAnsi="Times New Roman"/>
          <w:sz w:val="20"/>
          <w:szCs w:val="20"/>
        </w:rPr>
        <w:t>Šaltiniai</w:t>
      </w:r>
      <w:r w:rsidRPr="00526DC7">
        <w:rPr>
          <w:rFonts w:ascii="Times New Roman" w:hAnsi="Times New Roman"/>
          <w:sz w:val="20"/>
          <w:szCs w:val="20"/>
        </w:rPr>
        <w:t>: ŽŪIKVC (LŽŪMPRIS)</w:t>
      </w:r>
      <w:r>
        <w:rPr>
          <w:rFonts w:ascii="Times New Roman" w:hAnsi="Times New Roman"/>
          <w:sz w:val="20"/>
          <w:szCs w:val="20"/>
        </w:rPr>
        <w:t>, EK</w:t>
      </w:r>
    </w:p>
    <w:p w14:paraId="0C53262F" w14:textId="77777777" w:rsidR="00F10FBC" w:rsidRDefault="00F10FBC" w:rsidP="00A07857">
      <w:pPr>
        <w:autoSpaceDE w:val="0"/>
        <w:autoSpaceDN w:val="0"/>
        <w:adjustRightInd w:val="0"/>
        <w:spacing w:after="0" w:line="360" w:lineRule="auto"/>
        <w:ind w:firstLine="851"/>
        <w:contextualSpacing/>
        <w:jc w:val="both"/>
        <w:rPr>
          <w:rFonts w:ascii="Times New Roman" w:hAnsi="Times New Roman"/>
          <w:sz w:val="24"/>
          <w:szCs w:val="24"/>
        </w:rPr>
      </w:pPr>
    </w:p>
    <w:p w14:paraId="6CEC813C" w14:textId="77777777" w:rsidR="00F10FBC" w:rsidRPr="00F10FBC" w:rsidRDefault="00F10FBC" w:rsidP="00A07857">
      <w:pPr>
        <w:autoSpaceDE w:val="0"/>
        <w:autoSpaceDN w:val="0"/>
        <w:adjustRightInd w:val="0"/>
        <w:spacing w:after="0" w:line="360" w:lineRule="auto"/>
        <w:ind w:firstLine="851"/>
        <w:contextualSpacing/>
        <w:jc w:val="both"/>
        <w:rPr>
          <w:rFonts w:ascii="Times New Roman" w:hAnsi="Times New Roman"/>
          <w:sz w:val="24"/>
          <w:szCs w:val="24"/>
          <w:lang w:val="en-US"/>
        </w:rPr>
      </w:pPr>
    </w:p>
    <w:p w14:paraId="4826C26C" w14:textId="77777777" w:rsidR="00F10FBC" w:rsidRDefault="00F10FBC" w:rsidP="00A07857">
      <w:pPr>
        <w:autoSpaceDE w:val="0"/>
        <w:autoSpaceDN w:val="0"/>
        <w:adjustRightInd w:val="0"/>
        <w:spacing w:after="0" w:line="360" w:lineRule="auto"/>
        <w:ind w:firstLine="851"/>
        <w:contextualSpacing/>
        <w:jc w:val="both"/>
        <w:rPr>
          <w:rFonts w:ascii="Times New Roman" w:hAnsi="Times New Roman"/>
          <w:sz w:val="24"/>
          <w:szCs w:val="24"/>
        </w:rPr>
      </w:pPr>
    </w:p>
    <w:p w14:paraId="11FD8B2B" w14:textId="77777777" w:rsidR="00F10FBC" w:rsidRDefault="00F10FBC" w:rsidP="00A07857">
      <w:pPr>
        <w:autoSpaceDE w:val="0"/>
        <w:autoSpaceDN w:val="0"/>
        <w:adjustRightInd w:val="0"/>
        <w:spacing w:after="0" w:line="360" w:lineRule="auto"/>
        <w:ind w:firstLine="851"/>
        <w:contextualSpacing/>
        <w:jc w:val="both"/>
        <w:rPr>
          <w:rFonts w:ascii="Times New Roman" w:hAnsi="Times New Roman"/>
          <w:sz w:val="24"/>
          <w:szCs w:val="24"/>
        </w:rPr>
      </w:pPr>
    </w:p>
    <w:p w14:paraId="46D0B39B" w14:textId="77777777" w:rsidR="00F10FBC" w:rsidRDefault="006014FE" w:rsidP="006014FE">
      <w:pPr>
        <w:autoSpaceDE w:val="0"/>
        <w:autoSpaceDN w:val="0"/>
        <w:adjustRightInd w:val="0"/>
        <w:spacing w:after="0" w:line="360" w:lineRule="auto"/>
        <w:contextualSpacing/>
        <w:jc w:val="both"/>
        <w:rPr>
          <w:rFonts w:ascii="Times New Roman" w:hAnsi="Times New Roman"/>
          <w:sz w:val="24"/>
          <w:szCs w:val="24"/>
        </w:rPr>
      </w:pPr>
      <w:r>
        <w:rPr>
          <w:noProof/>
          <w:lang w:val="en-US"/>
        </w:rPr>
        <w:lastRenderedPageBreak/>
        <w:drawing>
          <wp:inline distT="0" distB="0" distL="0" distR="0" wp14:anchorId="1E1F5A18" wp14:editId="33D00683">
            <wp:extent cx="6840220" cy="3815080"/>
            <wp:effectExtent l="0" t="0" r="0" b="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8729FC" w14:textId="77777777" w:rsidR="006014FE" w:rsidRDefault="006014FE" w:rsidP="006014FE">
      <w:pPr>
        <w:autoSpaceDE w:val="0"/>
        <w:autoSpaceDN w:val="0"/>
        <w:adjustRightInd w:val="0"/>
        <w:spacing w:after="0" w:line="360" w:lineRule="auto"/>
        <w:contextualSpacing/>
        <w:jc w:val="both"/>
        <w:rPr>
          <w:rFonts w:ascii="Times New Roman" w:hAnsi="Times New Roman"/>
          <w:noProof/>
          <w:sz w:val="24"/>
          <w:szCs w:val="24"/>
        </w:rPr>
      </w:pPr>
    </w:p>
    <w:p w14:paraId="0F6278E0" w14:textId="2BA10885" w:rsidR="00292320" w:rsidRDefault="00292320" w:rsidP="00B90914">
      <w:pPr>
        <w:autoSpaceDE w:val="0"/>
        <w:autoSpaceDN w:val="0"/>
        <w:adjustRightInd w:val="0"/>
        <w:spacing w:after="0" w:line="360" w:lineRule="auto"/>
        <w:contextualSpacing/>
        <w:jc w:val="both"/>
        <w:rPr>
          <w:rFonts w:ascii="Times New Roman" w:hAnsi="Times New Roman"/>
          <w:noProof/>
          <w:sz w:val="24"/>
          <w:szCs w:val="24"/>
        </w:rPr>
      </w:pPr>
      <w:r>
        <w:rPr>
          <w:rFonts w:ascii="Times New Roman" w:hAnsi="Times New Roman"/>
          <w:noProof/>
          <w:sz w:val="24"/>
          <w:szCs w:val="24"/>
        </w:rPr>
        <w:tab/>
        <w:t>Atvėsinų viščiukų broilerių gamintojo kainos analizuojamu laikotarpiu didėjo</w:t>
      </w:r>
      <w:r w:rsidR="00865613">
        <w:rPr>
          <w:rFonts w:ascii="Times New Roman" w:hAnsi="Times New Roman"/>
          <w:noProof/>
          <w:sz w:val="24"/>
          <w:szCs w:val="24"/>
        </w:rPr>
        <w:t>.</w:t>
      </w:r>
      <w:r w:rsidR="00A31BB3">
        <w:rPr>
          <w:rFonts w:ascii="Times New Roman" w:hAnsi="Times New Roman"/>
          <w:noProof/>
          <w:sz w:val="24"/>
          <w:szCs w:val="24"/>
        </w:rPr>
        <w:t xml:space="preserve"> </w:t>
      </w:r>
      <w:r w:rsidR="00865613">
        <w:rPr>
          <w:rFonts w:ascii="Times New Roman" w:hAnsi="Times New Roman"/>
          <w:noProof/>
          <w:sz w:val="24"/>
          <w:szCs w:val="24"/>
        </w:rPr>
        <w:t xml:space="preserve">Viščiukų </w:t>
      </w:r>
      <w:r w:rsidR="00877876">
        <w:rPr>
          <w:rFonts w:ascii="Times New Roman" w:hAnsi="Times New Roman"/>
          <w:noProof/>
          <w:sz w:val="24"/>
          <w:szCs w:val="24"/>
        </w:rPr>
        <w:t xml:space="preserve">broielerių </w:t>
      </w:r>
      <w:bookmarkStart w:id="0" w:name="_GoBack"/>
      <w:bookmarkEnd w:id="0"/>
      <w:r w:rsidR="00877876">
        <w:rPr>
          <w:rFonts w:ascii="Times New Roman" w:hAnsi="Times New Roman"/>
          <w:noProof/>
          <w:sz w:val="24"/>
          <w:szCs w:val="24"/>
        </w:rPr>
        <w:t>skerdenų p</w:t>
      </w:r>
      <w:r w:rsidR="00865613">
        <w:rPr>
          <w:rFonts w:ascii="Times New Roman" w:hAnsi="Times New Roman"/>
          <w:noProof/>
          <w:sz w:val="24"/>
          <w:szCs w:val="24"/>
        </w:rPr>
        <w:t>ardavimo</w:t>
      </w:r>
      <w:r>
        <w:rPr>
          <w:rFonts w:ascii="Times New Roman" w:hAnsi="Times New Roman"/>
          <w:noProof/>
          <w:sz w:val="24"/>
          <w:szCs w:val="24"/>
        </w:rPr>
        <w:t xml:space="preserve"> vidaus rinkoje</w:t>
      </w:r>
      <w:r w:rsidR="00865613">
        <w:rPr>
          <w:rFonts w:ascii="Times New Roman" w:hAnsi="Times New Roman"/>
          <w:noProof/>
          <w:sz w:val="24"/>
          <w:szCs w:val="24"/>
        </w:rPr>
        <w:t xml:space="preserve"> kiekiai</w:t>
      </w:r>
      <w:r>
        <w:rPr>
          <w:rFonts w:ascii="Times New Roman" w:hAnsi="Times New Roman"/>
          <w:noProof/>
          <w:sz w:val="24"/>
          <w:szCs w:val="24"/>
        </w:rPr>
        <w:t xml:space="preserve"> 2019 m. sausio</w:t>
      </w:r>
      <w:r w:rsidR="00213D26">
        <w:rPr>
          <w:rFonts w:ascii="Times New Roman" w:hAnsi="Times New Roman"/>
          <w:noProof/>
          <w:sz w:val="24"/>
          <w:szCs w:val="24"/>
        </w:rPr>
        <w:t>–</w:t>
      </w:r>
      <w:r>
        <w:rPr>
          <w:rFonts w:ascii="Times New Roman" w:hAnsi="Times New Roman"/>
          <w:noProof/>
          <w:sz w:val="24"/>
          <w:szCs w:val="24"/>
        </w:rPr>
        <w:t>kovo mėn., palygininti su 2018 m. I ketvirčiu</w:t>
      </w:r>
      <w:r w:rsidR="00213D26">
        <w:rPr>
          <w:rFonts w:ascii="Times New Roman" w:hAnsi="Times New Roman"/>
          <w:noProof/>
          <w:sz w:val="24"/>
          <w:szCs w:val="24"/>
        </w:rPr>
        <w:t>,</w:t>
      </w:r>
      <w:r>
        <w:rPr>
          <w:rFonts w:ascii="Times New Roman" w:hAnsi="Times New Roman"/>
          <w:noProof/>
          <w:sz w:val="24"/>
          <w:szCs w:val="24"/>
        </w:rPr>
        <w:t xml:space="preserve"> padidėjo 4,5 proc., tačiau</w:t>
      </w:r>
      <w:r w:rsidR="00213D26">
        <w:rPr>
          <w:rFonts w:ascii="Times New Roman" w:hAnsi="Times New Roman"/>
          <w:noProof/>
          <w:sz w:val="24"/>
          <w:szCs w:val="24"/>
        </w:rPr>
        <w:t>,</w:t>
      </w:r>
      <w:r>
        <w:rPr>
          <w:rFonts w:ascii="Times New Roman" w:hAnsi="Times New Roman"/>
          <w:noProof/>
          <w:sz w:val="24"/>
          <w:szCs w:val="24"/>
        </w:rPr>
        <w:t xml:space="preserve"> palyginti su  tuo pačiu praėjusių metų laik</w:t>
      </w:r>
      <w:r w:rsidR="00865613">
        <w:rPr>
          <w:rFonts w:ascii="Times New Roman" w:hAnsi="Times New Roman"/>
          <w:noProof/>
          <w:sz w:val="24"/>
          <w:szCs w:val="24"/>
        </w:rPr>
        <w:t>otarpiu, buvo 7,9 proc. mažesni</w:t>
      </w:r>
      <w:r>
        <w:rPr>
          <w:rFonts w:ascii="Times New Roman" w:hAnsi="Times New Roman"/>
          <w:noProof/>
          <w:sz w:val="24"/>
          <w:szCs w:val="24"/>
        </w:rPr>
        <w:t xml:space="preserve">. Šiam sumažėjimui įtakos </w:t>
      </w:r>
      <w:r w:rsidR="00213D26">
        <w:rPr>
          <w:rFonts w:ascii="Times New Roman" w:hAnsi="Times New Roman"/>
          <w:noProof/>
          <w:sz w:val="24"/>
          <w:szCs w:val="24"/>
        </w:rPr>
        <w:t xml:space="preserve">galėjo turėti </w:t>
      </w:r>
      <w:r>
        <w:rPr>
          <w:rFonts w:ascii="Times New Roman" w:hAnsi="Times New Roman"/>
          <w:noProof/>
          <w:sz w:val="24"/>
          <w:szCs w:val="24"/>
        </w:rPr>
        <w:t>nedidelė paklausa vidaus rinkoje.</w:t>
      </w:r>
    </w:p>
    <w:p w14:paraId="4FC3D20F" w14:textId="77777777" w:rsidR="00292320" w:rsidRDefault="00292320" w:rsidP="000C422B">
      <w:pPr>
        <w:autoSpaceDE w:val="0"/>
        <w:autoSpaceDN w:val="0"/>
        <w:adjustRightInd w:val="0"/>
        <w:spacing w:after="0" w:line="360" w:lineRule="auto"/>
        <w:contextualSpacing/>
        <w:jc w:val="center"/>
        <w:rPr>
          <w:rFonts w:ascii="Times New Roman" w:hAnsi="Times New Roman"/>
          <w:b/>
          <w:noProof/>
          <w:sz w:val="24"/>
          <w:szCs w:val="24"/>
        </w:rPr>
      </w:pPr>
      <w:r>
        <w:rPr>
          <w:noProof/>
          <w:lang w:val="en-US"/>
        </w:rPr>
        <w:drawing>
          <wp:inline distT="0" distB="0" distL="0" distR="0" wp14:anchorId="4E96A77B" wp14:editId="04A3F600">
            <wp:extent cx="6176645" cy="3343835"/>
            <wp:effectExtent l="0" t="0" r="14605" b="952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E7B7E" w14:textId="77777777" w:rsidR="00292320" w:rsidRPr="007A1233" w:rsidRDefault="00292320" w:rsidP="007A1233">
      <w:pPr>
        <w:spacing w:after="0" w:line="360" w:lineRule="auto"/>
        <w:ind w:firstLine="851"/>
        <w:contextualSpacing/>
        <w:jc w:val="right"/>
        <w:rPr>
          <w:rFonts w:ascii="Times New Roman" w:eastAsia="Times New Roman" w:hAnsi="Times New Roman"/>
          <w:color w:val="C00000"/>
          <w:sz w:val="24"/>
          <w:szCs w:val="24"/>
          <w:lang w:eastAsia="lt-LT"/>
        </w:rPr>
      </w:pPr>
      <w:r>
        <w:rPr>
          <w:rFonts w:ascii="Times New Roman" w:eastAsia="Times New Roman" w:hAnsi="Times New Roman" w:cs="Calibri"/>
          <w:color w:val="000000"/>
          <w:lang w:eastAsia="lt-LT"/>
        </w:rPr>
        <w:t>Šaltinis</w:t>
      </w:r>
      <w:r w:rsidRPr="00937F45">
        <w:rPr>
          <w:rFonts w:ascii="Times New Roman" w:eastAsia="Times New Roman" w:hAnsi="Times New Roman" w:cs="Calibri"/>
          <w:color w:val="000000"/>
          <w:lang w:eastAsia="lt-LT"/>
        </w:rPr>
        <w:t>: ŽŪIKVC (LŽŪMPRIS)</w:t>
      </w:r>
    </w:p>
    <w:p w14:paraId="11B455C9" w14:textId="77777777" w:rsidR="00292320" w:rsidRDefault="00292320" w:rsidP="000C422B">
      <w:pPr>
        <w:autoSpaceDE w:val="0"/>
        <w:autoSpaceDN w:val="0"/>
        <w:adjustRightInd w:val="0"/>
        <w:spacing w:after="0" w:line="360" w:lineRule="auto"/>
        <w:contextualSpacing/>
        <w:jc w:val="center"/>
        <w:rPr>
          <w:rFonts w:ascii="Times New Roman" w:hAnsi="Times New Roman"/>
          <w:b/>
          <w:noProof/>
          <w:sz w:val="24"/>
          <w:szCs w:val="24"/>
        </w:rPr>
      </w:pPr>
    </w:p>
    <w:p w14:paraId="4E4BBEA9" w14:textId="77777777" w:rsidR="007A1233" w:rsidRDefault="005B6229" w:rsidP="007A1233">
      <w:pPr>
        <w:autoSpaceDE w:val="0"/>
        <w:autoSpaceDN w:val="0"/>
        <w:adjustRightInd w:val="0"/>
        <w:spacing w:after="0" w:line="360" w:lineRule="auto"/>
        <w:contextualSpacing/>
        <w:jc w:val="center"/>
        <w:rPr>
          <w:rFonts w:ascii="Times New Roman" w:hAnsi="Times New Roman"/>
          <w:b/>
          <w:noProof/>
          <w:sz w:val="24"/>
          <w:szCs w:val="24"/>
        </w:rPr>
      </w:pPr>
      <w:r>
        <w:rPr>
          <w:rFonts w:ascii="Times New Roman" w:hAnsi="Times New Roman"/>
          <w:b/>
          <w:noProof/>
          <w:sz w:val="24"/>
          <w:szCs w:val="24"/>
        </w:rPr>
        <w:t>Vi</w:t>
      </w:r>
      <w:r w:rsidR="005B7E5C">
        <w:rPr>
          <w:rFonts w:ascii="Times New Roman" w:hAnsi="Times New Roman"/>
          <w:b/>
          <w:noProof/>
          <w:sz w:val="24"/>
          <w:szCs w:val="24"/>
        </w:rPr>
        <w:t>š</w:t>
      </w:r>
      <w:r>
        <w:rPr>
          <w:rFonts w:ascii="Times New Roman" w:hAnsi="Times New Roman"/>
          <w:b/>
          <w:noProof/>
          <w:sz w:val="24"/>
          <w:szCs w:val="24"/>
        </w:rPr>
        <w:t>tienos</w:t>
      </w:r>
      <w:r w:rsidR="000C422B" w:rsidRPr="000C422B">
        <w:rPr>
          <w:rFonts w:ascii="Times New Roman" w:hAnsi="Times New Roman"/>
          <w:b/>
          <w:noProof/>
          <w:sz w:val="24"/>
          <w:szCs w:val="24"/>
        </w:rPr>
        <w:t xml:space="preserve"> </w:t>
      </w:r>
      <w:r>
        <w:rPr>
          <w:rFonts w:ascii="Times New Roman" w:hAnsi="Times New Roman"/>
          <w:b/>
          <w:noProof/>
          <w:sz w:val="24"/>
          <w:szCs w:val="24"/>
        </w:rPr>
        <w:t>importa</w:t>
      </w:r>
      <w:r w:rsidR="00171920">
        <w:rPr>
          <w:rFonts w:ascii="Times New Roman" w:hAnsi="Times New Roman"/>
          <w:b/>
          <w:noProof/>
          <w:sz w:val="24"/>
          <w:szCs w:val="24"/>
        </w:rPr>
        <w:t>s</w:t>
      </w:r>
      <w:r>
        <w:rPr>
          <w:rFonts w:ascii="Times New Roman" w:hAnsi="Times New Roman"/>
          <w:b/>
          <w:noProof/>
          <w:sz w:val="24"/>
          <w:szCs w:val="24"/>
        </w:rPr>
        <w:t xml:space="preserve"> ir eksportas</w:t>
      </w:r>
    </w:p>
    <w:p w14:paraId="4ADE2D8A" w14:textId="2A11FDC4" w:rsidR="000C422B" w:rsidRPr="007A1233" w:rsidRDefault="000C422B" w:rsidP="007A1233">
      <w:pPr>
        <w:autoSpaceDE w:val="0"/>
        <w:autoSpaceDN w:val="0"/>
        <w:adjustRightInd w:val="0"/>
        <w:spacing w:after="0" w:line="360" w:lineRule="auto"/>
        <w:contextualSpacing/>
        <w:jc w:val="both"/>
        <w:rPr>
          <w:rFonts w:ascii="Times New Roman" w:hAnsi="Times New Roman"/>
          <w:b/>
          <w:noProof/>
          <w:sz w:val="24"/>
          <w:szCs w:val="24"/>
        </w:rPr>
      </w:pPr>
      <w:r w:rsidRPr="00CB3EBE">
        <w:rPr>
          <w:rFonts w:ascii="Times New Roman" w:hAnsi="Times New Roman"/>
          <w:noProof/>
          <w:sz w:val="24"/>
          <w:szCs w:val="24"/>
        </w:rPr>
        <w:t xml:space="preserve">Lietuvos statistikos departamento duomenimis, 2019 m. pradžioje vištienos </w:t>
      </w:r>
      <w:r w:rsidR="005B7E5C">
        <w:rPr>
          <w:rFonts w:ascii="Times New Roman" w:hAnsi="Times New Roman"/>
          <w:noProof/>
          <w:sz w:val="24"/>
          <w:szCs w:val="24"/>
        </w:rPr>
        <w:t>(</w:t>
      </w:r>
      <w:r w:rsidR="00282B36">
        <w:rPr>
          <w:rFonts w:ascii="Times New Roman" w:hAnsi="Times New Roman"/>
          <w:noProof/>
          <w:sz w:val="24"/>
          <w:szCs w:val="24"/>
        </w:rPr>
        <w:t xml:space="preserve">kodai </w:t>
      </w:r>
      <w:r w:rsidR="005B7E5C">
        <w:rPr>
          <w:rFonts w:ascii="Times New Roman" w:hAnsi="Times New Roman"/>
          <w:noProof/>
          <w:sz w:val="24"/>
          <w:szCs w:val="24"/>
        </w:rPr>
        <w:t>0207 11</w:t>
      </w:r>
      <w:r w:rsidR="005B7E5C" w:rsidRPr="005B7E5C">
        <w:rPr>
          <w:rFonts w:ascii="Times New Roman" w:hAnsi="Times New Roman"/>
          <w:noProof/>
          <w:sz w:val="24"/>
          <w:szCs w:val="24"/>
        </w:rPr>
        <w:t>–</w:t>
      </w:r>
      <w:r w:rsidR="00282B36">
        <w:rPr>
          <w:rFonts w:ascii="Times New Roman" w:hAnsi="Times New Roman"/>
          <w:noProof/>
          <w:sz w:val="24"/>
          <w:szCs w:val="24"/>
        </w:rPr>
        <w:t>0207</w:t>
      </w:r>
      <w:r w:rsidR="00213D26">
        <w:rPr>
          <w:rFonts w:ascii="Times New Roman" w:hAnsi="Times New Roman"/>
          <w:noProof/>
          <w:sz w:val="24"/>
          <w:szCs w:val="24"/>
        </w:rPr>
        <w:t>)</w:t>
      </w:r>
      <w:r w:rsidR="00282B36">
        <w:rPr>
          <w:rFonts w:ascii="Times New Roman" w:hAnsi="Times New Roman"/>
          <w:noProof/>
          <w:sz w:val="24"/>
          <w:szCs w:val="24"/>
        </w:rPr>
        <w:t xml:space="preserve"> </w:t>
      </w:r>
      <w:r w:rsidRPr="00CB3EBE">
        <w:rPr>
          <w:rFonts w:ascii="Times New Roman" w:hAnsi="Times New Roman"/>
          <w:noProof/>
          <w:sz w:val="24"/>
          <w:szCs w:val="24"/>
        </w:rPr>
        <w:t>importas sumažėjo. 2019 m. sausio</w:t>
      </w:r>
      <w:r w:rsidR="00CB3EBE" w:rsidRPr="00CB3EBE">
        <w:rPr>
          <w:rFonts w:ascii="Times New Roman" w:hAnsi="Times New Roman"/>
          <w:noProof/>
          <w:sz w:val="24"/>
          <w:szCs w:val="24"/>
        </w:rPr>
        <w:t>–</w:t>
      </w:r>
      <w:r w:rsidRPr="00CB3EBE">
        <w:rPr>
          <w:rFonts w:ascii="Times New Roman" w:hAnsi="Times New Roman"/>
          <w:noProof/>
          <w:sz w:val="24"/>
          <w:szCs w:val="24"/>
        </w:rPr>
        <w:t>vasario mėn. įvežta 4</w:t>
      </w:r>
      <w:r w:rsidR="00171920">
        <w:rPr>
          <w:rFonts w:ascii="Times New Roman" w:hAnsi="Times New Roman"/>
          <w:noProof/>
          <w:sz w:val="24"/>
          <w:szCs w:val="24"/>
        </w:rPr>
        <w:t xml:space="preserve"> </w:t>
      </w:r>
      <w:r w:rsidRPr="00CB3EBE">
        <w:rPr>
          <w:rFonts w:ascii="Times New Roman" w:hAnsi="Times New Roman"/>
          <w:noProof/>
          <w:sz w:val="24"/>
          <w:szCs w:val="24"/>
        </w:rPr>
        <w:t xml:space="preserve">632,2 t vištienos </w:t>
      </w:r>
      <w:r w:rsidR="00CB3EBE" w:rsidRPr="00CB3EBE">
        <w:rPr>
          <w:rFonts w:ascii="Times New Roman" w:hAnsi="Times New Roman"/>
          <w:noProof/>
          <w:sz w:val="24"/>
          <w:szCs w:val="24"/>
        </w:rPr>
        <w:t>–</w:t>
      </w:r>
      <w:r w:rsidRPr="00CB3EBE">
        <w:rPr>
          <w:rFonts w:ascii="Times New Roman" w:hAnsi="Times New Roman"/>
          <w:noProof/>
          <w:sz w:val="24"/>
          <w:szCs w:val="24"/>
        </w:rPr>
        <w:t xml:space="preserve"> </w:t>
      </w:r>
      <w:r w:rsidR="00CB3EBE" w:rsidRPr="00CB3EBE">
        <w:rPr>
          <w:rFonts w:ascii="Times New Roman" w:hAnsi="Times New Roman"/>
          <w:noProof/>
          <w:sz w:val="24"/>
          <w:szCs w:val="24"/>
        </w:rPr>
        <w:t xml:space="preserve">19,25 proc. mažiau nei tuo pačiu praėjusių </w:t>
      </w:r>
      <w:r w:rsidR="00CB3EBE" w:rsidRPr="00CB3EBE">
        <w:rPr>
          <w:rFonts w:ascii="Times New Roman" w:hAnsi="Times New Roman"/>
          <w:noProof/>
          <w:sz w:val="24"/>
          <w:szCs w:val="24"/>
        </w:rPr>
        <w:lastRenderedPageBreak/>
        <w:t>metų laikotarpiu.</w:t>
      </w:r>
      <w:r w:rsidR="00CB3EBE">
        <w:rPr>
          <w:rFonts w:ascii="Times New Roman" w:hAnsi="Times New Roman"/>
          <w:noProof/>
          <w:sz w:val="24"/>
          <w:szCs w:val="24"/>
        </w:rPr>
        <w:t xml:space="preserve"> An</w:t>
      </w:r>
      <w:r w:rsidR="00171920">
        <w:rPr>
          <w:rFonts w:ascii="Times New Roman" w:hAnsi="Times New Roman"/>
          <w:noProof/>
          <w:sz w:val="24"/>
          <w:szCs w:val="24"/>
        </w:rPr>
        <w:t>a</w:t>
      </w:r>
      <w:r w:rsidR="00CB3EBE">
        <w:rPr>
          <w:rFonts w:ascii="Times New Roman" w:hAnsi="Times New Roman"/>
          <w:noProof/>
          <w:sz w:val="24"/>
          <w:szCs w:val="24"/>
        </w:rPr>
        <w:t xml:space="preserve">lizuojamu laikotarpiu pagrindinė paukštienos importo šalis buvo Lenkija. Iš šios šalies įvežta </w:t>
      </w:r>
      <w:r w:rsidR="005B6229">
        <w:rPr>
          <w:rFonts w:ascii="Times New Roman" w:hAnsi="Times New Roman"/>
          <w:noProof/>
          <w:sz w:val="24"/>
          <w:szCs w:val="24"/>
        </w:rPr>
        <w:t>3</w:t>
      </w:r>
      <w:r w:rsidR="00171920">
        <w:rPr>
          <w:rFonts w:ascii="Times New Roman" w:hAnsi="Times New Roman"/>
          <w:noProof/>
          <w:sz w:val="24"/>
          <w:szCs w:val="24"/>
        </w:rPr>
        <w:t xml:space="preserve"> </w:t>
      </w:r>
      <w:r w:rsidR="005B6229">
        <w:rPr>
          <w:rFonts w:ascii="Times New Roman" w:hAnsi="Times New Roman"/>
          <w:noProof/>
          <w:sz w:val="24"/>
          <w:szCs w:val="24"/>
        </w:rPr>
        <w:t xml:space="preserve">840,76 t vištienos </w:t>
      </w:r>
      <w:r w:rsidR="00282B36" w:rsidRPr="00CB3EBE">
        <w:rPr>
          <w:rFonts w:ascii="Times New Roman" w:hAnsi="Times New Roman"/>
          <w:noProof/>
          <w:sz w:val="24"/>
          <w:szCs w:val="24"/>
        </w:rPr>
        <w:t xml:space="preserve">– </w:t>
      </w:r>
      <w:r w:rsidR="005B6229">
        <w:rPr>
          <w:rFonts w:ascii="Times New Roman" w:hAnsi="Times New Roman"/>
          <w:noProof/>
          <w:sz w:val="24"/>
          <w:szCs w:val="24"/>
        </w:rPr>
        <w:t xml:space="preserve">1,5 proc. mažiau nei prieš metus. </w:t>
      </w:r>
      <w:r w:rsidR="00A31BB3">
        <w:rPr>
          <w:rFonts w:ascii="Times New Roman" w:hAnsi="Times New Roman"/>
          <w:noProof/>
          <w:sz w:val="24"/>
          <w:szCs w:val="24"/>
        </w:rPr>
        <w:t>I</w:t>
      </w:r>
      <w:r w:rsidR="005B6229">
        <w:rPr>
          <w:rFonts w:ascii="Times New Roman" w:hAnsi="Times New Roman"/>
          <w:noProof/>
          <w:sz w:val="24"/>
          <w:szCs w:val="24"/>
        </w:rPr>
        <w:t xml:space="preserve">š Lenkijos </w:t>
      </w:r>
      <w:r w:rsidR="00A31BB3">
        <w:rPr>
          <w:rFonts w:ascii="Times New Roman" w:hAnsi="Times New Roman"/>
          <w:noProof/>
          <w:sz w:val="24"/>
          <w:szCs w:val="24"/>
        </w:rPr>
        <w:t>i</w:t>
      </w:r>
      <w:r w:rsidR="00A31BB3" w:rsidRPr="00A31BB3">
        <w:rPr>
          <w:rFonts w:ascii="Times New Roman" w:hAnsi="Times New Roman"/>
          <w:noProof/>
          <w:sz w:val="24"/>
          <w:szCs w:val="24"/>
        </w:rPr>
        <w:t xml:space="preserve">mportuotos </w:t>
      </w:r>
      <w:r w:rsidR="005B6229">
        <w:rPr>
          <w:rFonts w:ascii="Times New Roman" w:hAnsi="Times New Roman"/>
          <w:noProof/>
          <w:sz w:val="24"/>
          <w:szCs w:val="24"/>
        </w:rPr>
        <w:t>vištienos vertė padidėjo 13,3</w:t>
      </w:r>
      <w:r w:rsidR="00171920">
        <w:rPr>
          <w:rFonts w:ascii="Times New Roman" w:hAnsi="Times New Roman"/>
          <w:noProof/>
          <w:sz w:val="24"/>
          <w:szCs w:val="24"/>
        </w:rPr>
        <w:t>0</w:t>
      </w:r>
      <w:r w:rsidR="005B6229">
        <w:rPr>
          <w:rFonts w:ascii="Times New Roman" w:hAnsi="Times New Roman"/>
          <w:noProof/>
          <w:sz w:val="24"/>
          <w:szCs w:val="24"/>
        </w:rPr>
        <w:t xml:space="preserve"> </w:t>
      </w:r>
      <w:r w:rsidR="00171920">
        <w:rPr>
          <w:rFonts w:ascii="Times New Roman" w:hAnsi="Times New Roman"/>
          <w:noProof/>
          <w:sz w:val="24"/>
          <w:szCs w:val="24"/>
        </w:rPr>
        <w:t>p</w:t>
      </w:r>
      <w:r w:rsidR="005B6229">
        <w:rPr>
          <w:rFonts w:ascii="Times New Roman" w:hAnsi="Times New Roman"/>
          <w:noProof/>
          <w:sz w:val="24"/>
          <w:szCs w:val="24"/>
        </w:rPr>
        <w:t>r</w:t>
      </w:r>
      <w:r w:rsidR="00A31BB3">
        <w:rPr>
          <w:rFonts w:ascii="Times New Roman" w:hAnsi="Times New Roman"/>
          <w:noProof/>
          <w:sz w:val="24"/>
          <w:szCs w:val="24"/>
        </w:rPr>
        <w:t>oc</w:t>
      </w:r>
      <w:r w:rsidR="005B6229">
        <w:rPr>
          <w:rFonts w:ascii="Times New Roman" w:hAnsi="Times New Roman"/>
          <w:noProof/>
          <w:sz w:val="24"/>
          <w:szCs w:val="24"/>
        </w:rPr>
        <w:t>.</w:t>
      </w:r>
      <w:r w:rsidR="00FE28E9">
        <w:rPr>
          <w:rFonts w:ascii="Times New Roman" w:hAnsi="Times New Roman"/>
          <w:noProof/>
          <w:sz w:val="24"/>
          <w:szCs w:val="24"/>
        </w:rPr>
        <w:t>,</w:t>
      </w:r>
      <w:r w:rsidR="005B6229">
        <w:rPr>
          <w:rFonts w:ascii="Times New Roman" w:hAnsi="Times New Roman"/>
          <w:noProof/>
          <w:sz w:val="24"/>
          <w:szCs w:val="24"/>
        </w:rPr>
        <w:t xml:space="preserve"> </w:t>
      </w:r>
      <w:r w:rsidR="00171920">
        <w:rPr>
          <w:rFonts w:ascii="Times New Roman" w:hAnsi="Times New Roman"/>
          <w:noProof/>
          <w:sz w:val="24"/>
          <w:szCs w:val="24"/>
        </w:rPr>
        <w:t>n</w:t>
      </w:r>
      <w:r w:rsidR="005B6229">
        <w:rPr>
          <w:rFonts w:ascii="Times New Roman" w:hAnsi="Times New Roman"/>
          <w:noProof/>
          <w:sz w:val="24"/>
          <w:szCs w:val="24"/>
        </w:rPr>
        <w:t>uo 1,28 EUR iki 1,45 EUR/kg.</w:t>
      </w:r>
      <w:r w:rsidR="00171920">
        <w:rPr>
          <w:rFonts w:ascii="Times New Roman" w:hAnsi="Times New Roman"/>
          <w:noProof/>
          <w:sz w:val="24"/>
          <w:szCs w:val="24"/>
        </w:rPr>
        <w:t xml:space="preserve"> Vištienos importas iš Latvijos analiz</w:t>
      </w:r>
      <w:r w:rsidR="006634BD">
        <w:rPr>
          <w:rFonts w:ascii="Times New Roman" w:hAnsi="Times New Roman"/>
          <w:noProof/>
          <w:sz w:val="24"/>
          <w:szCs w:val="24"/>
        </w:rPr>
        <w:t>uojamu laikotarpiu sumažėjo 54,</w:t>
      </w:r>
      <w:r w:rsidR="00171920">
        <w:rPr>
          <w:rFonts w:ascii="Times New Roman" w:hAnsi="Times New Roman"/>
          <w:noProof/>
          <w:sz w:val="24"/>
          <w:szCs w:val="24"/>
        </w:rPr>
        <w:t>33 proc., iki 425,04 t. Iš Latvijos įvežtos vištienos vertė 2019 m. I ketvirtį,</w:t>
      </w:r>
      <w:r w:rsidR="00282B36">
        <w:rPr>
          <w:rFonts w:ascii="Times New Roman" w:hAnsi="Times New Roman"/>
          <w:noProof/>
          <w:sz w:val="24"/>
          <w:szCs w:val="24"/>
        </w:rPr>
        <w:t xml:space="preserve"> palyginti su 2018 IV ketvirčiu,</w:t>
      </w:r>
      <w:r w:rsidR="00A31BB3">
        <w:rPr>
          <w:rFonts w:ascii="Times New Roman" w:hAnsi="Times New Roman"/>
          <w:noProof/>
          <w:sz w:val="24"/>
          <w:szCs w:val="24"/>
        </w:rPr>
        <w:t xml:space="preserve"> buvo </w:t>
      </w:r>
      <w:r w:rsidR="00171920">
        <w:rPr>
          <w:rFonts w:ascii="Times New Roman" w:hAnsi="Times New Roman"/>
          <w:noProof/>
          <w:sz w:val="24"/>
          <w:szCs w:val="24"/>
        </w:rPr>
        <w:t xml:space="preserve">32,47 proc. aukštesnė. </w:t>
      </w:r>
      <w:r w:rsidR="00E93892">
        <w:rPr>
          <w:rFonts w:ascii="Times New Roman" w:hAnsi="Times New Roman"/>
          <w:noProof/>
          <w:sz w:val="24"/>
          <w:szCs w:val="24"/>
        </w:rPr>
        <w:t xml:space="preserve">Sumažėjusios vištienos importo apimtys ir aukštesnės importuotos produkcijos kainos sudarė palankias sąlygas vietiniams gamintojams, todėl </w:t>
      </w:r>
      <w:r w:rsidR="006634BD">
        <w:rPr>
          <w:rFonts w:ascii="Times New Roman" w:hAnsi="Times New Roman"/>
          <w:noProof/>
          <w:sz w:val="24"/>
          <w:szCs w:val="24"/>
        </w:rPr>
        <w:t>kaina artimiausiu laikotarpiu turėtų išlikti stabili arba šiek tiek didėti.</w:t>
      </w:r>
    </w:p>
    <w:p w14:paraId="4885E04C" w14:textId="77777777" w:rsidR="00281E7B" w:rsidRPr="00D93000" w:rsidRDefault="005573F8" w:rsidP="00A31BB3">
      <w:pPr>
        <w:autoSpaceDE w:val="0"/>
        <w:autoSpaceDN w:val="0"/>
        <w:adjustRightInd w:val="0"/>
        <w:spacing w:after="0" w:line="360" w:lineRule="auto"/>
        <w:ind w:firstLine="851"/>
        <w:contextualSpacing/>
        <w:jc w:val="both"/>
        <w:rPr>
          <w:rFonts w:ascii="Times New Roman" w:hAnsi="Times New Roman"/>
          <w:noProof/>
          <w:sz w:val="24"/>
          <w:szCs w:val="24"/>
        </w:rPr>
      </w:pPr>
      <w:r>
        <w:rPr>
          <w:rFonts w:ascii="Times New Roman" w:hAnsi="Times New Roman"/>
          <w:noProof/>
          <w:sz w:val="24"/>
          <w:szCs w:val="24"/>
        </w:rPr>
        <w:t xml:space="preserve">Vištienos eksportas </w:t>
      </w:r>
      <w:r w:rsidR="00A31BB3">
        <w:rPr>
          <w:rFonts w:ascii="Times New Roman" w:hAnsi="Times New Roman"/>
          <w:noProof/>
          <w:sz w:val="24"/>
          <w:szCs w:val="24"/>
        </w:rPr>
        <w:t>sausio</w:t>
      </w:r>
      <w:r w:rsidR="00A31BB3" w:rsidRPr="00CB3EBE">
        <w:rPr>
          <w:rFonts w:ascii="Times New Roman" w:hAnsi="Times New Roman"/>
          <w:noProof/>
          <w:sz w:val="24"/>
          <w:szCs w:val="24"/>
        </w:rPr>
        <w:t>–</w:t>
      </w:r>
      <w:r w:rsidR="00A31BB3">
        <w:rPr>
          <w:rFonts w:ascii="Times New Roman" w:hAnsi="Times New Roman"/>
          <w:noProof/>
          <w:sz w:val="24"/>
          <w:szCs w:val="24"/>
        </w:rPr>
        <w:t xml:space="preserve">vasario mėn. </w:t>
      </w:r>
      <w:r>
        <w:rPr>
          <w:rFonts w:ascii="Times New Roman" w:hAnsi="Times New Roman"/>
          <w:noProof/>
          <w:sz w:val="24"/>
          <w:szCs w:val="24"/>
        </w:rPr>
        <w:t xml:space="preserve"> sudarė 7694,28 t </w:t>
      </w:r>
      <w:r w:rsidRPr="00CB3EBE">
        <w:rPr>
          <w:rFonts w:ascii="Times New Roman" w:hAnsi="Times New Roman"/>
          <w:noProof/>
          <w:sz w:val="24"/>
          <w:szCs w:val="24"/>
        </w:rPr>
        <w:t>–</w:t>
      </w:r>
      <w:r>
        <w:rPr>
          <w:rFonts w:ascii="Times New Roman" w:hAnsi="Times New Roman"/>
          <w:noProof/>
          <w:sz w:val="24"/>
          <w:szCs w:val="24"/>
        </w:rPr>
        <w:t xml:space="preserve"> 1,35 proc. daugiau nei tuo pačiu laikotarpiu.  Vidutinė eskportuotos pridukcijos vertė sudarė 2,02 EUR/kg ir</w:t>
      </w:r>
      <w:r w:rsidR="00A31BB3">
        <w:rPr>
          <w:rFonts w:ascii="Times New Roman" w:hAnsi="Times New Roman"/>
          <w:noProof/>
          <w:sz w:val="24"/>
          <w:szCs w:val="24"/>
        </w:rPr>
        <w:t>,</w:t>
      </w:r>
      <w:r>
        <w:rPr>
          <w:rFonts w:ascii="Times New Roman" w:hAnsi="Times New Roman"/>
          <w:noProof/>
          <w:sz w:val="24"/>
          <w:szCs w:val="24"/>
        </w:rPr>
        <w:t xml:space="preserve"> palyginti su tuo pačiu praėjusiu metų laikotarpiu</w:t>
      </w:r>
      <w:r w:rsidR="00A31BB3">
        <w:rPr>
          <w:rFonts w:ascii="Times New Roman" w:hAnsi="Times New Roman"/>
          <w:noProof/>
          <w:sz w:val="24"/>
          <w:szCs w:val="24"/>
        </w:rPr>
        <w:t>,</w:t>
      </w:r>
      <w:r>
        <w:rPr>
          <w:rFonts w:ascii="Times New Roman" w:hAnsi="Times New Roman"/>
          <w:noProof/>
          <w:sz w:val="24"/>
          <w:szCs w:val="24"/>
        </w:rPr>
        <w:t xml:space="preserve"> padidėjo 5,2 proc. Pagrindinės vištienos eksporto šalys partnerės </w:t>
      </w:r>
      <w:r w:rsidR="00FA074A">
        <w:rPr>
          <w:rFonts w:ascii="Times New Roman" w:hAnsi="Times New Roman"/>
          <w:noProof/>
          <w:sz w:val="24"/>
          <w:szCs w:val="24"/>
        </w:rPr>
        <w:t xml:space="preserve">analizuojamu laikotarpiu </w:t>
      </w:r>
      <w:r>
        <w:rPr>
          <w:rFonts w:ascii="Times New Roman" w:hAnsi="Times New Roman"/>
          <w:noProof/>
          <w:sz w:val="24"/>
          <w:szCs w:val="24"/>
        </w:rPr>
        <w:t xml:space="preserve">buvo  Latvija (1 967 39 t), Olandija (1 438,15 t), Prancūzija (803,02 t) ir Estija (779,83 t).  </w:t>
      </w:r>
    </w:p>
    <w:p w14:paraId="52FAA34B" w14:textId="023AA618" w:rsidR="000E679E" w:rsidRDefault="009D3B55" w:rsidP="00D93000">
      <w:pPr>
        <w:spacing w:after="0" w:line="360" w:lineRule="auto"/>
        <w:ind w:firstLine="851"/>
        <w:jc w:val="both"/>
        <w:rPr>
          <w:rFonts w:ascii="Times New Roman" w:hAnsi="Times New Roman"/>
          <w:sz w:val="24"/>
          <w:szCs w:val="24"/>
        </w:rPr>
      </w:pPr>
      <w:r w:rsidRPr="00D93000">
        <w:rPr>
          <w:rFonts w:ascii="Times New Roman" w:hAnsi="Times New Roman"/>
          <w:sz w:val="24"/>
          <w:szCs w:val="24"/>
        </w:rPr>
        <w:t xml:space="preserve">Remiantis Europos Komisijos </w:t>
      </w:r>
      <w:r w:rsidR="001C117F" w:rsidRPr="00D93000">
        <w:rPr>
          <w:rFonts w:ascii="Times New Roman" w:hAnsi="Times New Roman"/>
          <w:sz w:val="24"/>
          <w:szCs w:val="24"/>
        </w:rPr>
        <w:t xml:space="preserve">prognozėmis, 2019 m. </w:t>
      </w:r>
      <w:r w:rsidR="00282B36" w:rsidRPr="00D93000">
        <w:rPr>
          <w:rFonts w:ascii="Times New Roman" w:hAnsi="Times New Roman"/>
          <w:sz w:val="24"/>
          <w:szCs w:val="24"/>
        </w:rPr>
        <w:t>vištien</w:t>
      </w:r>
      <w:r w:rsidR="001C117F" w:rsidRPr="00D93000">
        <w:rPr>
          <w:rFonts w:ascii="Times New Roman" w:hAnsi="Times New Roman"/>
          <w:sz w:val="24"/>
          <w:szCs w:val="24"/>
        </w:rPr>
        <w:t xml:space="preserve">os gamyba </w:t>
      </w:r>
      <w:r w:rsidR="00282B36" w:rsidRPr="00D93000">
        <w:rPr>
          <w:rFonts w:ascii="Times New Roman" w:hAnsi="Times New Roman"/>
          <w:sz w:val="24"/>
          <w:szCs w:val="24"/>
        </w:rPr>
        <w:t xml:space="preserve">ir eksportas </w:t>
      </w:r>
      <w:r w:rsidR="00680698" w:rsidRPr="00D93000">
        <w:rPr>
          <w:rFonts w:ascii="Times New Roman" w:hAnsi="Times New Roman"/>
          <w:sz w:val="24"/>
          <w:szCs w:val="24"/>
        </w:rPr>
        <w:t xml:space="preserve">ES šalyse </w:t>
      </w:r>
      <w:r w:rsidR="001C117F" w:rsidRPr="00D93000">
        <w:rPr>
          <w:rFonts w:ascii="Times New Roman" w:hAnsi="Times New Roman"/>
          <w:sz w:val="24"/>
          <w:szCs w:val="24"/>
        </w:rPr>
        <w:t xml:space="preserve">turėtų </w:t>
      </w:r>
      <w:r w:rsidR="00282B36" w:rsidRPr="00D93000">
        <w:rPr>
          <w:rFonts w:ascii="Times New Roman" w:hAnsi="Times New Roman"/>
          <w:sz w:val="24"/>
          <w:szCs w:val="24"/>
        </w:rPr>
        <w:t>didėti</w:t>
      </w:r>
      <w:r w:rsidR="001C117F" w:rsidRPr="00D93000">
        <w:rPr>
          <w:rFonts w:ascii="Times New Roman" w:hAnsi="Times New Roman"/>
          <w:sz w:val="24"/>
          <w:szCs w:val="24"/>
        </w:rPr>
        <w:t xml:space="preserve">, </w:t>
      </w:r>
      <w:r w:rsidR="00282B36" w:rsidRPr="00D93000">
        <w:rPr>
          <w:rFonts w:ascii="Times New Roman" w:hAnsi="Times New Roman"/>
          <w:sz w:val="24"/>
          <w:szCs w:val="24"/>
        </w:rPr>
        <w:t xml:space="preserve">o gamintojų kainos priklausys nuo paklausos eksporto rinkose. </w:t>
      </w:r>
      <w:r w:rsidR="0086056B">
        <w:rPr>
          <w:rFonts w:ascii="Times New Roman" w:hAnsi="Times New Roman"/>
          <w:sz w:val="24"/>
          <w:szCs w:val="24"/>
        </w:rPr>
        <w:t>Eurostat</w:t>
      </w:r>
      <w:r w:rsidR="00FE28E9">
        <w:rPr>
          <w:rFonts w:ascii="Times New Roman" w:hAnsi="Times New Roman"/>
          <w:sz w:val="24"/>
          <w:szCs w:val="24"/>
        </w:rPr>
        <w:t>o</w:t>
      </w:r>
      <w:r w:rsidR="0086056B">
        <w:rPr>
          <w:rFonts w:ascii="Times New Roman" w:hAnsi="Times New Roman"/>
          <w:sz w:val="24"/>
          <w:szCs w:val="24"/>
        </w:rPr>
        <w:t xml:space="preserve"> duomenimis, 2019 m. sausio</w:t>
      </w:r>
      <w:r w:rsidR="00FE28E9">
        <w:rPr>
          <w:rFonts w:ascii="Times New Roman" w:hAnsi="Times New Roman"/>
          <w:sz w:val="24"/>
          <w:szCs w:val="24"/>
        </w:rPr>
        <w:t>–</w:t>
      </w:r>
      <w:r w:rsidR="0086056B">
        <w:rPr>
          <w:rFonts w:ascii="Times New Roman" w:hAnsi="Times New Roman"/>
          <w:sz w:val="24"/>
          <w:szCs w:val="24"/>
        </w:rPr>
        <w:t xml:space="preserve"> vasario mėn., palyginti 2018 m. </w:t>
      </w:r>
      <w:r w:rsidR="00FE28E9">
        <w:rPr>
          <w:rFonts w:ascii="Times New Roman" w:hAnsi="Times New Roman"/>
          <w:sz w:val="24"/>
          <w:szCs w:val="24"/>
        </w:rPr>
        <w:t xml:space="preserve">su tuo pačiu </w:t>
      </w:r>
      <w:r w:rsidR="0086056B">
        <w:rPr>
          <w:rFonts w:ascii="Times New Roman" w:hAnsi="Times New Roman"/>
          <w:sz w:val="24"/>
          <w:szCs w:val="24"/>
        </w:rPr>
        <w:t>laikotarpiu, vištienos importas ES  iš trečiųjų šalių padidėjo 11,8 proc. Daugiausia paukštienos šiuo laikotarpiu importuota iš Tailando (56,72 tūkst.</w:t>
      </w:r>
      <w:r w:rsidR="00FE28E9">
        <w:rPr>
          <w:rFonts w:ascii="Times New Roman" w:hAnsi="Times New Roman"/>
          <w:sz w:val="24"/>
          <w:szCs w:val="24"/>
        </w:rPr>
        <w:t xml:space="preserve"> </w:t>
      </w:r>
      <w:r w:rsidR="0086056B">
        <w:rPr>
          <w:rFonts w:ascii="Times New Roman" w:hAnsi="Times New Roman"/>
          <w:sz w:val="24"/>
          <w:szCs w:val="24"/>
        </w:rPr>
        <w:t>t</w:t>
      </w:r>
      <w:r w:rsidR="00FE28E9">
        <w:rPr>
          <w:rFonts w:ascii="Times New Roman" w:hAnsi="Times New Roman"/>
          <w:sz w:val="24"/>
          <w:szCs w:val="24"/>
        </w:rPr>
        <w:t>,</w:t>
      </w:r>
      <w:r w:rsidR="0086056B">
        <w:rPr>
          <w:rFonts w:ascii="Times New Roman" w:hAnsi="Times New Roman"/>
          <w:sz w:val="24"/>
          <w:szCs w:val="24"/>
        </w:rPr>
        <w:t xml:space="preserve"> arba 11 proc. daugiau)</w:t>
      </w:r>
      <w:r w:rsidR="00FE28E9">
        <w:rPr>
          <w:rFonts w:ascii="Times New Roman" w:hAnsi="Times New Roman"/>
          <w:sz w:val="24"/>
          <w:szCs w:val="24"/>
        </w:rPr>
        <w:t>,</w:t>
      </w:r>
      <w:r w:rsidR="0086056B">
        <w:rPr>
          <w:rFonts w:ascii="Times New Roman" w:hAnsi="Times New Roman"/>
          <w:sz w:val="24"/>
          <w:szCs w:val="24"/>
        </w:rPr>
        <w:t xml:space="preserve"> Brazilijos (18 proc., iki 53,11 tūkst. t) ir Ukrainos (8 proc. 19,47 tūkst.</w:t>
      </w:r>
      <w:r w:rsidR="00FE28E9">
        <w:rPr>
          <w:rFonts w:ascii="Times New Roman" w:hAnsi="Times New Roman"/>
          <w:sz w:val="24"/>
          <w:szCs w:val="24"/>
        </w:rPr>
        <w:t xml:space="preserve"> </w:t>
      </w:r>
      <w:r w:rsidR="0086056B">
        <w:rPr>
          <w:rFonts w:ascii="Times New Roman" w:hAnsi="Times New Roman"/>
          <w:sz w:val="24"/>
          <w:szCs w:val="24"/>
        </w:rPr>
        <w:t xml:space="preserve">t). </w:t>
      </w:r>
    </w:p>
    <w:p w14:paraId="74574C5C" w14:textId="5BAE9AFF" w:rsidR="002D54D3" w:rsidRPr="00D93000" w:rsidRDefault="000E679E" w:rsidP="00D93000">
      <w:pPr>
        <w:spacing w:after="0" w:line="360" w:lineRule="auto"/>
        <w:ind w:firstLine="851"/>
        <w:jc w:val="both"/>
        <w:rPr>
          <w:rFonts w:ascii="Times New Roman" w:hAnsi="Times New Roman"/>
          <w:sz w:val="24"/>
          <w:szCs w:val="24"/>
        </w:rPr>
      </w:pPr>
      <w:r>
        <w:rPr>
          <w:rFonts w:ascii="Times New Roman" w:hAnsi="Times New Roman"/>
          <w:sz w:val="24"/>
          <w:szCs w:val="24"/>
        </w:rPr>
        <w:t>P</w:t>
      </w:r>
      <w:r w:rsidR="00282B36" w:rsidRPr="00D93000">
        <w:rPr>
          <w:rFonts w:ascii="Times New Roman" w:hAnsi="Times New Roman"/>
          <w:sz w:val="24"/>
          <w:szCs w:val="24"/>
        </w:rPr>
        <w:t>aukštienos rinkos ekon</w:t>
      </w:r>
      <w:r w:rsidR="00D93000">
        <w:rPr>
          <w:rFonts w:ascii="Times New Roman" w:hAnsi="Times New Roman"/>
          <w:sz w:val="24"/>
          <w:szCs w:val="24"/>
        </w:rPr>
        <w:t>o</w:t>
      </w:r>
      <w:r w:rsidR="00282B36" w:rsidRPr="00D93000">
        <w:rPr>
          <w:rFonts w:ascii="Times New Roman" w:hAnsi="Times New Roman"/>
          <w:sz w:val="24"/>
          <w:szCs w:val="24"/>
        </w:rPr>
        <w:t>minė padėtis 2018 m. buvo nepastovi dėl tebesitęsiančio prekybos karo tarp JAV ir Kinijos</w:t>
      </w:r>
      <w:r w:rsidR="00D93000" w:rsidRPr="00D93000">
        <w:rPr>
          <w:rFonts w:ascii="Times New Roman" w:hAnsi="Times New Roman"/>
          <w:sz w:val="24"/>
          <w:szCs w:val="24"/>
        </w:rPr>
        <w:t xml:space="preserve">. </w:t>
      </w:r>
      <w:r w:rsidR="00D93000" w:rsidRPr="00EF0D57">
        <w:rPr>
          <w:rFonts w:ascii="Times New Roman" w:hAnsi="Times New Roman"/>
          <w:sz w:val="24"/>
          <w:szCs w:val="24"/>
        </w:rPr>
        <w:t>T</w:t>
      </w:r>
      <w:r w:rsidR="00282B36" w:rsidRPr="00EF0D57">
        <w:rPr>
          <w:rFonts w:ascii="Times New Roman" w:hAnsi="Times New Roman"/>
          <w:sz w:val="24"/>
          <w:szCs w:val="24"/>
        </w:rPr>
        <w:t xml:space="preserve">arptautiniai prekybos apribojimai dėl užkrečiamų ligų turėjo įtakos paukštienos paklausai ir kainų sumažėjimui. </w:t>
      </w:r>
      <w:r>
        <w:rPr>
          <w:rFonts w:ascii="Times New Roman" w:hAnsi="Times New Roman"/>
          <w:sz w:val="24"/>
          <w:szCs w:val="24"/>
        </w:rPr>
        <w:t>Eurostat</w:t>
      </w:r>
      <w:r w:rsidR="00FE28E9">
        <w:rPr>
          <w:rFonts w:ascii="Times New Roman" w:hAnsi="Times New Roman"/>
          <w:sz w:val="24"/>
          <w:szCs w:val="24"/>
        </w:rPr>
        <w:t>o</w:t>
      </w:r>
      <w:r>
        <w:rPr>
          <w:rFonts w:ascii="Times New Roman" w:hAnsi="Times New Roman"/>
          <w:sz w:val="24"/>
          <w:szCs w:val="24"/>
        </w:rPr>
        <w:t xml:space="preserve"> duomenimis, 2019 m. pradžioje didmeninė atvėsintų viščiukų kaina JAV didėjo ir 14 sav. (2019 04 01</w:t>
      </w:r>
      <w:r w:rsidRPr="00CB3EBE">
        <w:rPr>
          <w:rFonts w:ascii="Times New Roman" w:hAnsi="Times New Roman"/>
          <w:noProof/>
          <w:sz w:val="24"/>
          <w:szCs w:val="24"/>
        </w:rPr>
        <w:t>–</w:t>
      </w:r>
      <w:r>
        <w:rPr>
          <w:rFonts w:ascii="Times New Roman" w:hAnsi="Times New Roman"/>
          <w:noProof/>
          <w:sz w:val="24"/>
          <w:szCs w:val="24"/>
        </w:rPr>
        <w:t>07)</w:t>
      </w:r>
      <w:r>
        <w:rPr>
          <w:rFonts w:ascii="Times New Roman" w:hAnsi="Times New Roman"/>
          <w:sz w:val="24"/>
          <w:szCs w:val="24"/>
        </w:rPr>
        <w:t xml:space="preserve"> sudarė 174,20 E</w:t>
      </w:r>
      <w:r w:rsidR="00865613">
        <w:rPr>
          <w:rFonts w:ascii="Times New Roman" w:hAnsi="Times New Roman"/>
          <w:sz w:val="24"/>
          <w:szCs w:val="24"/>
        </w:rPr>
        <w:t>UR</w:t>
      </w:r>
      <w:r>
        <w:rPr>
          <w:rFonts w:ascii="Times New Roman" w:hAnsi="Times New Roman"/>
          <w:sz w:val="24"/>
          <w:szCs w:val="24"/>
        </w:rPr>
        <w:t xml:space="preserve">/100 kg </w:t>
      </w:r>
      <w:r w:rsidR="00FE28E9">
        <w:rPr>
          <w:rFonts w:ascii="Times New Roman" w:hAnsi="Times New Roman"/>
          <w:sz w:val="24"/>
          <w:szCs w:val="24"/>
        </w:rPr>
        <w:t>bei</w:t>
      </w:r>
      <w:r>
        <w:rPr>
          <w:rFonts w:ascii="Times New Roman" w:hAnsi="Times New Roman"/>
          <w:sz w:val="24"/>
          <w:szCs w:val="24"/>
        </w:rPr>
        <w:t xml:space="preserve"> buvo 7,5 proc. mažesnė už ES vidutinę kainą. Vidutinė atvėsintų viščiukų kaina analizuojamu laikotarpiu Brazilijoje sudarė 105,72 </w:t>
      </w:r>
      <w:r w:rsidR="00865613">
        <w:rPr>
          <w:rFonts w:ascii="Times New Roman" w:hAnsi="Times New Roman"/>
          <w:sz w:val="24"/>
          <w:szCs w:val="24"/>
        </w:rPr>
        <w:t>EUR</w:t>
      </w:r>
      <w:r>
        <w:rPr>
          <w:rFonts w:ascii="Times New Roman" w:hAnsi="Times New Roman"/>
          <w:sz w:val="24"/>
          <w:szCs w:val="24"/>
        </w:rPr>
        <w:t>/kg ir buvo 43,9 proc. mažesnė už ES vidutinę kainą.</w:t>
      </w:r>
    </w:p>
    <w:p w14:paraId="541956A3" w14:textId="77777777" w:rsidR="001E2FEF" w:rsidRPr="009A58FC" w:rsidRDefault="001E2FEF" w:rsidP="00680698">
      <w:pPr>
        <w:spacing w:after="0" w:line="360" w:lineRule="auto"/>
        <w:ind w:firstLine="1134"/>
        <w:jc w:val="both"/>
        <w:rPr>
          <w:rFonts w:ascii="Times New Roman" w:hAnsi="Times New Roman"/>
          <w:color w:val="C00000"/>
          <w:sz w:val="24"/>
          <w:szCs w:val="24"/>
        </w:rPr>
      </w:pPr>
    </w:p>
    <w:p w14:paraId="6B1D96BC" w14:textId="4449662A" w:rsidR="00056203" w:rsidRPr="004476E2" w:rsidRDefault="00056203">
      <w:pPr>
        <w:rPr>
          <w:rFonts w:ascii="Times New Roman" w:hAnsi="Times New Roman"/>
          <w:b/>
          <w:sz w:val="24"/>
          <w:szCs w:val="24"/>
        </w:rPr>
      </w:pPr>
      <w:r w:rsidRPr="004476E2">
        <w:rPr>
          <w:rFonts w:ascii="Times New Roman" w:hAnsi="Times New Roman"/>
          <w:b/>
          <w:sz w:val="24"/>
          <w:szCs w:val="24"/>
        </w:rPr>
        <w:t>IŠVADOS</w:t>
      </w:r>
    </w:p>
    <w:p w14:paraId="692C9D3C" w14:textId="77777777" w:rsidR="00056203" w:rsidRPr="004476E2" w:rsidRDefault="00056203"/>
    <w:p w14:paraId="6F98F936" w14:textId="55A354EA" w:rsidR="00C71D49" w:rsidRPr="004476E2" w:rsidRDefault="00C71D49" w:rsidP="001E2FEF">
      <w:pPr>
        <w:pStyle w:val="Sraopastraipa"/>
        <w:numPr>
          <w:ilvl w:val="0"/>
          <w:numId w:val="6"/>
        </w:numPr>
        <w:spacing w:line="360" w:lineRule="auto"/>
        <w:ind w:left="-142" w:firstLine="993"/>
        <w:jc w:val="both"/>
        <w:rPr>
          <w:lang w:val="lt-LT"/>
        </w:rPr>
      </w:pPr>
      <w:r w:rsidRPr="004476E2">
        <w:rPr>
          <w:lang w:val="lt-LT"/>
        </w:rPr>
        <w:t>2019 m. I ketvirtį</w:t>
      </w:r>
      <w:r w:rsidR="00EF0D57">
        <w:rPr>
          <w:lang w:val="lt-LT"/>
        </w:rPr>
        <w:t xml:space="preserve">, palyginti su tuo pačiu 2018 m. laikotarpiu, </w:t>
      </w:r>
      <w:r w:rsidR="00D93000" w:rsidRPr="004476E2">
        <w:rPr>
          <w:lang w:val="lt-LT"/>
        </w:rPr>
        <w:t>atvėsinto viščiuko broilerio kainų  grandinėj</w:t>
      </w:r>
      <w:r w:rsidRPr="004476E2">
        <w:rPr>
          <w:lang w:val="lt-LT"/>
        </w:rPr>
        <w:t xml:space="preserve">e mažmeninės prekybos dalis </w:t>
      </w:r>
      <w:r w:rsidR="00D93000" w:rsidRPr="004476E2">
        <w:rPr>
          <w:lang w:val="lt-LT"/>
        </w:rPr>
        <w:t>sumažėjo 15</w:t>
      </w:r>
      <w:r w:rsidR="00EF0D57">
        <w:rPr>
          <w:lang w:val="lt-LT"/>
        </w:rPr>
        <w:t>,4 proc.</w:t>
      </w:r>
      <w:r w:rsidRPr="004476E2">
        <w:rPr>
          <w:lang w:val="lt-LT"/>
        </w:rPr>
        <w:t xml:space="preserve">, o </w:t>
      </w:r>
      <w:r w:rsidR="00D93000" w:rsidRPr="004476E2">
        <w:rPr>
          <w:lang w:val="lt-LT"/>
        </w:rPr>
        <w:t>gamintojų</w:t>
      </w:r>
      <w:r w:rsidRPr="004476E2">
        <w:rPr>
          <w:lang w:val="lt-LT"/>
        </w:rPr>
        <w:t xml:space="preserve"> </w:t>
      </w:r>
      <w:r w:rsidR="00FE28E9">
        <w:rPr>
          <w:lang w:val="lt-LT"/>
        </w:rPr>
        <w:t>dalis</w:t>
      </w:r>
      <w:r w:rsidR="00D93000" w:rsidRPr="004476E2">
        <w:rPr>
          <w:lang w:val="lt-LT"/>
        </w:rPr>
        <w:t xml:space="preserve"> </w:t>
      </w:r>
      <w:r w:rsidR="00EF0D57">
        <w:rPr>
          <w:lang w:val="lt-LT"/>
        </w:rPr>
        <w:t xml:space="preserve">padidėjo </w:t>
      </w:r>
      <w:r w:rsidR="00D93000" w:rsidRPr="004476E2">
        <w:rPr>
          <w:lang w:val="lt-LT"/>
        </w:rPr>
        <w:t>5</w:t>
      </w:r>
      <w:r w:rsidR="00EF0D57">
        <w:rPr>
          <w:lang w:val="lt-LT"/>
        </w:rPr>
        <w:t>,0</w:t>
      </w:r>
      <w:r w:rsidRPr="004476E2">
        <w:rPr>
          <w:lang w:val="lt-LT"/>
        </w:rPr>
        <w:t xml:space="preserve"> proc.</w:t>
      </w:r>
    </w:p>
    <w:p w14:paraId="5A9D7477" w14:textId="77777777" w:rsidR="00B90914" w:rsidRDefault="00C71D49" w:rsidP="00D5000A">
      <w:pPr>
        <w:pStyle w:val="Sraopastraipa"/>
        <w:numPr>
          <w:ilvl w:val="0"/>
          <w:numId w:val="6"/>
        </w:numPr>
        <w:spacing w:line="360" w:lineRule="auto"/>
        <w:ind w:left="0" w:firstLine="851"/>
        <w:jc w:val="both"/>
        <w:rPr>
          <w:lang w:val="lt-LT"/>
        </w:rPr>
      </w:pPr>
      <w:r w:rsidRPr="004476E2">
        <w:rPr>
          <w:lang w:val="lt-LT"/>
        </w:rPr>
        <w:t xml:space="preserve">Analizuojamu laikotarpiu </w:t>
      </w:r>
      <w:r w:rsidR="00D93000" w:rsidRPr="004476E2">
        <w:rPr>
          <w:lang w:val="lt-LT"/>
        </w:rPr>
        <w:t>atvėsinto viščiuko broilerio</w:t>
      </w:r>
      <w:r w:rsidRPr="004476E2">
        <w:rPr>
          <w:lang w:val="lt-LT"/>
        </w:rPr>
        <w:t xml:space="preserve"> </w:t>
      </w:r>
      <w:r w:rsidR="00604929">
        <w:rPr>
          <w:lang w:val="lt-LT"/>
        </w:rPr>
        <w:t xml:space="preserve">gamintojo </w:t>
      </w:r>
      <w:r w:rsidRPr="004476E2">
        <w:rPr>
          <w:lang w:val="lt-LT"/>
        </w:rPr>
        <w:t xml:space="preserve">kaina </w:t>
      </w:r>
      <w:r w:rsidR="00036906" w:rsidRPr="004476E2">
        <w:rPr>
          <w:lang w:val="lt-LT"/>
        </w:rPr>
        <w:t xml:space="preserve">Lietuvoje </w:t>
      </w:r>
      <w:r w:rsidR="00D93000" w:rsidRPr="004476E2">
        <w:rPr>
          <w:lang w:val="lt-LT"/>
        </w:rPr>
        <w:t>padid</w:t>
      </w:r>
      <w:r w:rsidRPr="004476E2">
        <w:rPr>
          <w:lang w:val="lt-LT"/>
        </w:rPr>
        <w:t xml:space="preserve">ėjo. Tam įtakos galėjo turėti </w:t>
      </w:r>
      <w:r w:rsidR="00D93000" w:rsidRPr="004476E2">
        <w:rPr>
          <w:lang w:val="lt-LT"/>
        </w:rPr>
        <w:t>dėl brangių pašarinių grūdų</w:t>
      </w:r>
      <w:r w:rsidR="004476E2" w:rsidRPr="004476E2">
        <w:rPr>
          <w:lang w:val="lt-LT"/>
        </w:rPr>
        <w:t xml:space="preserve"> išaugusi gamybos savikaina, sumažėjęs</w:t>
      </w:r>
      <w:r w:rsidR="00D93000" w:rsidRPr="004476E2">
        <w:rPr>
          <w:lang w:val="lt-LT"/>
        </w:rPr>
        <w:t xml:space="preserve"> </w:t>
      </w:r>
      <w:r w:rsidR="004476E2" w:rsidRPr="004476E2">
        <w:rPr>
          <w:lang w:val="lt-LT"/>
        </w:rPr>
        <w:t>vištienos importas bei padidėjusios vištienos didmeninės kainos kaimyninėse šalyse</w:t>
      </w:r>
      <w:r w:rsidRPr="004476E2">
        <w:rPr>
          <w:lang w:val="lt-LT"/>
        </w:rPr>
        <w:t xml:space="preserve">. </w:t>
      </w:r>
      <w:r w:rsidR="00036906" w:rsidRPr="004476E2">
        <w:rPr>
          <w:lang w:val="lt-LT"/>
        </w:rPr>
        <w:t xml:space="preserve">Prognozuojama, kad </w:t>
      </w:r>
      <w:r w:rsidR="004476E2" w:rsidRPr="004476E2">
        <w:rPr>
          <w:lang w:val="lt-LT"/>
        </w:rPr>
        <w:t xml:space="preserve">viščiukų broilerių </w:t>
      </w:r>
      <w:r w:rsidR="00604929">
        <w:rPr>
          <w:lang w:val="lt-LT"/>
        </w:rPr>
        <w:t>gamintojo kaina</w:t>
      </w:r>
      <w:r w:rsidR="00036906" w:rsidRPr="004476E2">
        <w:rPr>
          <w:lang w:val="lt-LT"/>
        </w:rPr>
        <w:t xml:space="preserve"> ateityje turėtų </w:t>
      </w:r>
      <w:r w:rsidR="004476E2" w:rsidRPr="004476E2">
        <w:rPr>
          <w:lang w:val="lt-LT"/>
        </w:rPr>
        <w:t xml:space="preserve">šiek tiek </w:t>
      </w:r>
      <w:r w:rsidR="00036906" w:rsidRPr="004476E2">
        <w:rPr>
          <w:lang w:val="lt-LT"/>
        </w:rPr>
        <w:t>didėti</w:t>
      </w:r>
      <w:r w:rsidR="00D60B57" w:rsidRPr="004476E2">
        <w:rPr>
          <w:noProof/>
          <w:lang w:val="lt-LT"/>
        </w:rPr>
        <w:t>.</w:t>
      </w:r>
    </w:p>
    <w:p w14:paraId="6589F024" w14:textId="77777777" w:rsidR="00604929" w:rsidRDefault="00B90914" w:rsidP="00D5000A">
      <w:pPr>
        <w:pStyle w:val="Sraopastraipa"/>
        <w:numPr>
          <w:ilvl w:val="0"/>
          <w:numId w:val="6"/>
        </w:numPr>
        <w:spacing w:line="360" w:lineRule="auto"/>
        <w:ind w:left="0" w:firstLine="851"/>
        <w:jc w:val="both"/>
        <w:rPr>
          <w:lang w:val="lt-LT"/>
        </w:rPr>
      </w:pPr>
      <w:r>
        <w:rPr>
          <w:noProof/>
          <w:lang w:val="lt-LT"/>
        </w:rPr>
        <w:t xml:space="preserve">2019 m. ketvirtį, palyginti su 2018 m. tuo pačiu laikotarpiu, atvėsintų viščiukų broilerių </w:t>
      </w:r>
      <w:r w:rsidR="00D60B57" w:rsidRPr="004476E2">
        <w:rPr>
          <w:noProof/>
          <w:lang w:val="lt-LT"/>
        </w:rPr>
        <w:t xml:space="preserve"> </w:t>
      </w:r>
      <w:r>
        <w:rPr>
          <w:noProof/>
          <w:lang w:val="lt-LT"/>
        </w:rPr>
        <w:t xml:space="preserve">pardavimas vidaus rinkoje sumažėjo 7,9 proc. </w:t>
      </w:r>
    </w:p>
    <w:p w14:paraId="77CE7908" w14:textId="1A919E77" w:rsidR="004476E2" w:rsidRPr="004476E2" w:rsidRDefault="00B2360E" w:rsidP="00D5000A">
      <w:pPr>
        <w:pStyle w:val="Sraopastraipa"/>
        <w:numPr>
          <w:ilvl w:val="0"/>
          <w:numId w:val="6"/>
        </w:numPr>
        <w:spacing w:line="360" w:lineRule="auto"/>
        <w:ind w:left="0" w:firstLine="851"/>
        <w:jc w:val="both"/>
        <w:rPr>
          <w:lang w:val="lt-LT"/>
        </w:rPr>
      </w:pPr>
      <w:r>
        <w:rPr>
          <w:noProof/>
          <w:lang w:val="lt-LT"/>
        </w:rPr>
        <w:t>Maž</w:t>
      </w:r>
      <w:r w:rsidR="00FE28E9">
        <w:rPr>
          <w:noProof/>
          <w:lang w:val="lt-LT"/>
        </w:rPr>
        <w:t>m</w:t>
      </w:r>
      <w:r>
        <w:rPr>
          <w:noProof/>
          <w:lang w:val="lt-LT"/>
        </w:rPr>
        <w:t xml:space="preserve">eninės atvėsinto viščiuko broilerio kainos </w:t>
      </w:r>
      <w:r w:rsidR="00B90914">
        <w:rPr>
          <w:noProof/>
          <w:lang w:val="lt-LT"/>
        </w:rPr>
        <w:t xml:space="preserve">sumažėjimui įtakos </w:t>
      </w:r>
      <w:r w:rsidR="00FE28E9">
        <w:rPr>
          <w:noProof/>
          <w:lang w:val="lt-LT"/>
        </w:rPr>
        <w:t xml:space="preserve">galėjo turėti </w:t>
      </w:r>
      <w:r w:rsidR="00B90914">
        <w:rPr>
          <w:noProof/>
          <w:lang w:val="lt-LT"/>
        </w:rPr>
        <w:t>šiek tiek sumažėjusi paklausa vidaus rinkoje.</w:t>
      </w:r>
    </w:p>
    <w:p w14:paraId="47060D95" w14:textId="77777777" w:rsidR="00EC6CCB" w:rsidRPr="00B90914" w:rsidRDefault="00277A9A" w:rsidP="00B90914">
      <w:pPr>
        <w:pStyle w:val="Sraopastraipa"/>
        <w:numPr>
          <w:ilvl w:val="0"/>
          <w:numId w:val="6"/>
        </w:numPr>
        <w:spacing w:line="360" w:lineRule="auto"/>
        <w:ind w:left="0" w:firstLine="851"/>
        <w:jc w:val="both"/>
        <w:rPr>
          <w:lang w:val="lt-LT"/>
        </w:rPr>
      </w:pPr>
      <w:r w:rsidRPr="004476E2">
        <w:rPr>
          <w:lang w:val="lt-LT"/>
        </w:rPr>
        <w:t xml:space="preserve">Prognozuojama, kad </w:t>
      </w:r>
      <w:r w:rsidR="004476E2" w:rsidRPr="004476E2">
        <w:rPr>
          <w:lang w:val="lt-LT"/>
        </w:rPr>
        <w:t>2019 m.</w:t>
      </w:r>
      <w:r w:rsidRPr="004476E2">
        <w:rPr>
          <w:lang w:val="lt-LT"/>
        </w:rPr>
        <w:t xml:space="preserve"> ES ir pasaulyje </w:t>
      </w:r>
      <w:r w:rsidR="004476E2" w:rsidRPr="004476E2">
        <w:rPr>
          <w:lang w:val="lt-LT"/>
        </w:rPr>
        <w:t xml:space="preserve">viščiukų broilerių kainos turėtų </w:t>
      </w:r>
      <w:r w:rsidR="00B2360E">
        <w:rPr>
          <w:lang w:val="lt-LT"/>
        </w:rPr>
        <w:t xml:space="preserve">šiek tiek </w:t>
      </w:r>
      <w:r w:rsidR="004476E2" w:rsidRPr="004476E2">
        <w:rPr>
          <w:lang w:val="lt-LT"/>
        </w:rPr>
        <w:t>didėti, tačiau kainų augimas pri</w:t>
      </w:r>
      <w:r w:rsidR="00B2360E">
        <w:rPr>
          <w:lang w:val="lt-LT"/>
        </w:rPr>
        <w:t>klausys nuo p</w:t>
      </w:r>
      <w:r w:rsidR="004476E2" w:rsidRPr="004476E2">
        <w:rPr>
          <w:lang w:val="lt-LT"/>
        </w:rPr>
        <w:t>o</w:t>
      </w:r>
      <w:r w:rsidR="00B2360E">
        <w:rPr>
          <w:lang w:val="lt-LT"/>
        </w:rPr>
        <w:t>li</w:t>
      </w:r>
      <w:r w:rsidR="004476E2" w:rsidRPr="004476E2">
        <w:rPr>
          <w:lang w:val="lt-LT"/>
        </w:rPr>
        <w:t>tinių motyvų nulemtų prekybos suvaržymų.</w:t>
      </w:r>
    </w:p>
    <w:sectPr w:rsidR="00EC6CCB" w:rsidRPr="00B90914" w:rsidSect="009418A4">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2CFC"/>
    <w:multiLevelType w:val="hybridMultilevel"/>
    <w:tmpl w:val="B56A109C"/>
    <w:lvl w:ilvl="0" w:tplc="3EEEAAAA">
      <w:start w:val="1"/>
      <w:numFmt w:val="decimal"/>
      <w:lvlText w:val="%1."/>
      <w:lvlJc w:val="left"/>
      <w:pPr>
        <w:ind w:left="1495"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1DC9674E"/>
    <w:multiLevelType w:val="hybridMultilevel"/>
    <w:tmpl w:val="AFEEAE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1F300A"/>
    <w:multiLevelType w:val="hybridMultilevel"/>
    <w:tmpl w:val="9D00B112"/>
    <w:lvl w:ilvl="0" w:tplc="5EE04AE4">
      <w:start w:val="2019"/>
      <w:numFmt w:val="decimal"/>
      <w:lvlText w:val="%1"/>
      <w:lvlJc w:val="left"/>
      <w:pPr>
        <w:ind w:left="840" w:hanging="48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A1135E"/>
    <w:multiLevelType w:val="hybridMultilevel"/>
    <w:tmpl w:val="988A8C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80563B"/>
    <w:multiLevelType w:val="hybridMultilevel"/>
    <w:tmpl w:val="760C05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1A03E8"/>
    <w:multiLevelType w:val="hybridMultilevel"/>
    <w:tmpl w:val="2170348A"/>
    <w:lvl w:ilvl="0" w:tplc="04270011">
      <w:start w:val="1"/>
      <w:numFmt w:val="decimal"/>
      <w:lvlText w:val="%1)"/>
      <w:lvlJc w:val="left"/>
      <w:pPr>
        <w:ind w:left="11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FD"/>
    <w:rsid w:val="0000383E"/>
    <w:rsid w:val="000155F4"/>
    <w:rsid w:val="0002430C"/>
    <w:rsid w:val="00036906"/>
    <w:rsid w:val="00056203"/>
    <w:rsid w:val="000923A2"/>
    <w:rsid w:val="000A7521"/>
    <w:rsid w:val="000C3B51"/>
    <w:rsid w:val="000C422B"/>
    <w:rsid w:val="000D3749"/>
    <w:rsid w:val="000E679E"/>
    <w:rsid w:val="000E73CB"/>
    <w:rsid w:val="000F048D"/>
    <w:rsid w:val="0011068E"/>
    <w:rsid w:val="00130C83"/>
    <w:rsid w:val="00142F0E"/>
    <w:rsid w:val="00144515"/>
    <w:rsid w:val="0014669B"/>
    <w:rsid w:val="001555BA"/>
    <w:rsid w:val="001654DE"/>
    <w:rsid w:val="00171920"/>
    <w:rsid w:val="00175C53"/>
    <w:rsid w:val="00192EA1"/>
    <w:rsid w:val="00193059"/>
    <w:rsid w:val="001B08F5"/>
    <w:rsid w:val="001C117F"/>
    <w:rsid w:val="001C2F93"/>
    <w:rsid w:val="001E1F1D"/>
    <w:rsid w:val="001E2FEF"/>
    <w:rsid w:val="001E3C32"/>
    <w:rsid w:val="001E596E"/>
    <w:rsid w:val="002005C9"/>
    <w:rsid w:val="002138C0"/>
    <w:rsid w:val="00213D26"/>
    <w:rsid w:val="00222DC1"/>
    <w:rsid w:val="00231835"/>
    <w:rsid w:val="002403B0"/>
    <w:rsid w:val="00261B0F"/>
    <w:rsid w:val="002627F9"/>
    <w:rsid w:val="00273244"/>
    <w:rsid w:val="00277A9A"/>
    <w:rsid w:val="00281E7B"/>
    <w:rsid w:val="00282B36"/>
    <w:rsid w:val="00292320"/>
    <w:rsid w:val="002A0B76"/>
    <w:rsid w:val="002A6CDA"/>
    <w:rsid w:val="002A7B8A"/>
    <w:rsid w:val="002D54D3"/>
    <w:rsid w:val="002F155C"/>
    <w:rsid w:val="002F17D8"/>
    <w:rsid w:val="002F1FAC"/>
    <w:rsid w:val="002F670D"/>
    <w:rsid w:val="0031114C"/>
    <w:rsid w:val="00364924"/>
    <w:rsid w:val="00382C69"/>
    <w:rsid w:val="00382FA6"/>
    <w:rsid w:val="003B6966"/>
    <w:rsid w:val="003C32ED"/>
    <w:rsid w:val="003D03C5"/>
    <w:rsid w:val="003D25CF"/>
    <w:rsid w:val="003E03DE"/>
    <w:rsid w:val="00440F0B"/>
    <w:rsid w:val="00441920"/>
    <w:rsid w:val="004476E2"/>
    <w:rsid w:val="0046292B"/>
    <w:rsid w:val="004636F2"/>
    <w:rsid w:val="00470679"/>
    <w:rsid w:val="00476AFF"/>
    <w:rsid w:val="00491E96"/>
    <w:rsid w:val="004C3EA7"/>
    <w:rsid w:val="004C7664"/>
    <w:rsid w:val="004C7674"/>
    <w:rsid w:val="004D0868"/>
    <w:rsid w:val="004D5BBE"/>
    <w:rsid w:val="004F32AD"/>
    <w:rsid w:val="004F4B8F"/>
    <w:rsid w:val="00514C3A"/>
    <w:rsid w:val="00522DB5"/>
    <w:rsid w:val="00526DC7"/>
    <w:rsid w:val="00531760"/>
    <w:rsid w:val="00534608"/>
    <w:rsid w:val="00545404"/>
    <w:rsid w:val="00545CD2"/>
    <w:rsid w:val="0055207E"/>
    <w:rsid w:val="005573F8"/>
    <w:rsid w:val="005621E7"/>
    <w:rsid w:val="005B6229"/>
    <w:rsid w:val="005B7E5C"/>
    <w:rsid w:val="005D7238"/>
    <w:rsid w:val="005E0E9C"/>
    <w:rsid w:val="005E2377"/>
    <w:rsid w:val="00601054"/>
    <w:rsid w:val="006014FE"/>
    <w:rsid w:val="00604929"/>
    <w:rsid w:val="00630D4B"/>
    <w:rsid w:val="006439CA"/>
    <w:rsid w:val="006448FE"/>
    <w:rsid w:val="0065565F"/>
    <w:rsid w:val="00655EB8"/>
    <w:rsid w:val="006634BD"/>
    <w:rsid w:val="00670B1E"/>
    <w:rsid w:val="00673684"/>
    <w:rsid w:val="00674785"/>
    <w:rsid w:val="00680698"/>
    <w:rsid w:val="00682BFC"/>
    <w:rsid w:val="00685F8A"/>
    <w:rsid w:val="00695115"/>
    <w:rsid w:val="006A3C80"/>
    <w:rsid w:val="006A7398"/>
    <w:rsid w:val="006B70D4"/>
    <w:rsid w:val="006B7A05"/>
    <w:rsid w:val="006C72E7"/>
    <w:rsid w:val="006C77C9"/>
    <w:rsid w:val="006D0A18"/>
    <w:rsid w:val="006D54F3"/>
    <w:rsid w:val="00731B8C"/>
    <w:rsid w:val="00737CB0"/>
    <w:rsid w:val="0076259B"/>
    <w:rsid w:val="00762DC4"/>
    <w:rsid w:val="00765DC4"/>
    <w:rsid w:val="00774D25"/>
    <w:rsid w:val="00774D4F"/>
    <w:rsid w:val="007761BE"/>
    <w:rsid w:val="007766E0"/>
    <w:rsid w:val="007869EA"/>
    <w:rsid w:val="00793435"/>
    <w:rsid w:val="00797EE2"/>
    <w:rsid w:val="007A1233"/>
    <w:rsid w:val="007A4F3F"/>
    <w:rsid w:val="007A670E"/>
    <w:rsid w:val="007C004F"/>
    <w:rsid w:val="007F208E"/>
    <w:rsid w:val="0083666C"/>
    <w:rsid w:val="0084048F"/>
    <w:rsid w:val="008539B9"/>
    <w:rsid w:val="0086056B"/>
    <w:rsid w:val="00861FFD"/>
    <w:rsid w:val="00865613"/>
    <w:rsid w:val="00874AD2"/>
    <w:rsid w:val="00877876"/>
    <w:rsid w:val="008A4889"/>
    <w:rsid w:val="008B59B3"/>
    <w:rsid w:val="008B7200"/>
    <w:rsid w:val="008C0040"/>
    <w:rsid w:val="008C0A46"/>
    <w:rsid w:val="008D07B3"/>
    <w:rsid w:val="008E508C"/>
    <w:rsid w:val="00911B90"/>
    <w:rsid w:val="00914CD1"/>
    <w:rsid w:val="00923D2D"/>
    <w:rsid w:val="009418A4"/>
    <w:rsid w:val="00956F61"/>
    <w:rsid w:val="00962E24"/>
    <w:rsid w:val="009A14FD"/>
    <w:rsid w:val="009A1E79"/>
    <w:rsid w:val="009A58FC"/>
    <w:rsid w:val="009D08F2"/>
    <w:rsid w:val="009D3B55"/>
    <w:rsid w:val="009F08D6"/>
    <w:rsid w:val="009F2FCD"/>
    <w:rsid w:val="009F6612"/>
    <w:rsid w:val="009F6D49"/>
    <w:rsid w:val="00A07857"/>
    <w:rsid w:val="00A17F89"/>
    <w:rsid w:val="00A26C83"/>
    <w:rsid w:val="00A31BB3"/>
    <w:rsid w:val="00A33EDC"/>
    <w:rsid w:val="00A46BE2"/>
    <w:rsid w:val="00A770DE"/>
    <w:rsid w:val="00AC65B9"/>
    <w:rsid w:val="00AE3990"/>
    <w:rsid w:val="00B000E2"/>
    <w:rsid w:val="00B0010B"/>
    <w:rsid w:val="00B02E11"/>
    <w:rsid w:val="00B2360E"/>
    <w:rsid w:val="00B5735A"/>
    <w:rsid w:val="00B60BBF"/>
    <w:rsid w:val="00B75A8D"/>
    <w:rsid w:val="00B8021E"/>
    <w:rsid w:val="00B86B90"/>
    <w:rsid w:val="00B90914"/>
    <w:rsid w:val="00B944C6"/>
    <w:rsid w:val="00BC2D24"/>
    <w:rsid w:val="00BC6E7B"/>
    <w:rsid w:val="00BD7BDE"/>
    <w:rsid w:val="00BF170D"/>
    <w:rsid w:val="00BF3F9A"/>
    <w:rsid w:val="00C2208D"/>
    <w:rsid w:val="00C30B31"/>
    <w:rsid w:val="00C535B9"/>
    <w:rsid w:val="00C65892"/>
    <w:rsid w:val="00C71D49"/>
    <w:rsid w:val="00C733E3"/>
    <w:rsid w:val="00C908E3"/>
    <w:rsid w:val="00CA1B7A"/>
    <w:rsid w:val="00CB0DB9"/>
    <w:rsid w:val="00CB3EBE"/>
    <w:rsid w:val="00CF0D1B"/>
    <w:rsid w:val="00CF5EA3"/>
    <w:rsid w:val="00CF6902"/>
    <w:rsid w:val="00CF6CE3"/>
    <w:rsid w:val="00D02161"/>
    <w:rsid w:val="00D06AC8"/>
    <w:rsid w:val="00D06F10"/>
    <w:rsid w:val="00D15EF8"/>
    <w:rsid w:val="00D30F60"/>
    <w:rsid w:val="00D423E9"/>
    <w:rsid w:val="00D60B57"/>
    <w:rsid w:val="00D849A4"/>
    <w:rsid w:val="00D86CE8"/>
    <w:rsid w:val="00D91729"/>
    <w:rsid w:val="00D93000"/>
    <w:rsid w:val="00DC0B90"/>
    <w:rsid w:val="00DC3677"/>
    <w:rsid w:val="00DE5D4D"/>
    <w:rsid w:val="00DF0A61"/>
    <w:rsid w:val="00E07C03"/>
    <w:rsid w:val="00E10FD1"/>
    <w:rsid w:val="00E2370B"/>
    <w:rsid w:val="00E23CBC"/>
    <w:rsid w:val="00E30991"/>
    <w:rsid w:val="00E375CA"/>
    <w:rsid w:val="00E56D9C"/>
    <w:rsid w:val="00E62B6F"/>
    <w:rsid w:val="00E805B2"/>
    <w:rsid w:val="00E8436C"/>
    <w:rsid w:val="00E93892"/>
    <w:rsid w:val="00EA39EF"/>
    <w:rsid w:val="00EC6CCB"/>
    <w:rsid w:val="00ED3200"/>
    <w:rsid w:val="00EF0D57"/>
    <w:rsid w:val="00EF7895"/>
    <w:rsid w:val="00F028F9"/>
    <w:rsid w:val="00F1027E"/>
    <w:rsid w:val="00F10FBC"/>
    <w:rsid w:val="00F12F4B"/>
    <w:rsid w:val="00F20704"/>
    <w:rsid w:val="00F212AB"/>
    <w:rsid w:val="00F3791D"/>
    <w:rsid w:val="00F418B4"/>
    <w:rsid w:val="00F5052F"/>
    <w:rsid w:val="00F61CA7"/>
    <w:rsid w:val="00F81946"/>
    <w:rsid w:val="00FA074A"/>
    <w:rsid w:val="00FB4B3A"/>
    <w:rsid w:val="00FB7C11"/>
    <w:rsid w:val="00FD2D4F"/>
    <w:rsid w:val="00FE28E9"/>
    <w:rsid w:val="00FE6E40"/>
    <w:rsid w:val="00FF66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052D"/>
  <w15:chartTrackingRefBased/>
  <w15:docId w15:val="{CA04E7FB-DC5B-489B-A919-D068CE8E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D15EF8"/>
    <w:pPr>
      <w:spacing w:line="240" w:lineRule="auto"/>
    </w:pPr>
    <w:rPr>
      <w:sz w:val="20"/>
      <w:szCs w:val="20"/>
    </w:rPr>
  </w:style>
  <w:style w:type="character" w:customStyle="1" w:styleId="KomentarotekstasDiagrama">
    <w:name w:val="Komentaro tekstas Diagrama"/>
    <w:link w:val="Komentarotekstas"/>
    <w:uiPriority w:val="99"/>
    <w:rsid w:val="00D15EF8"/>
    <w:rPr>
      <w:lang w:eastAsia="en-US"/>
    </w:rPr>
  </w:style>
  <w:style w:type="paragraph" w:styleId="Debesliotekstas">
    <w:name w:val="Balloon Text"/>
    <w:basedOn w:val="prastasis"/>
    <w:link w:val="DebesliotekstasDiagrama"/>
    <w:uiPriority w:val="99"/>
    <w:semiHidden/>
    <w:unhideWhenUsed/>
    <w:rsid w:val="00FE6E40"/>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FE6E40"/>
    <w:rPr>
      <w:rFonts w:ascii="Segoe UI" w:hAnsi="Segoe UI" w:cs="Segoe UI"/>
      <w:sz w:val="18"/>
      <w:szCs w:val="18"/>
      <w:lang w:eastAsia="en-US"/>
    </w:rPr>
  </w:style>
  <w:style w:type="paragraph" w:customStyle="1" w:styleId="Betarp1">
    <w:name w:val="Be tarpų1"/>
    <w:qFormat/>
    <w:rsid w:val="00EC6CCB"/>
    <w:pPr>
      <w:jc w:val="both"/>
    </w:pPr>
    <w:rPr>
      <w:rFonts w:ascii="Times New Roman" w:hAnsi="Times New Roman"/>
      <w:sz w:val="24"/>
      <w:szCs w:val="22"/>
      <w:lang w:eastAsia="en-US"/>
    </w:rPr>
  </w:style>
  <w:style w:type="paragraph" w:styleId="Sraopastraipa">
    <w:name w:val="List Paragraph"/>
    <w:basedOn w:val="prastasis"/>
    <w:uiPriority w:val="34"/>
    <w:qFormat/>
    <w:rsid w:val="002138C0"/>
    <w:pPr>
      <w:spacing w:after="0" w:line="240" w:lineRule="auto"/>
      <w:ind w:left="720"/>
      <w:contextualSpacing/>
    </w:pPr>
    <w:rPr>
      <w:rFonts w:ascii="Times New Roman" w:eastAsia="Times New Roman" w:hAnsi="Times New Roman"/>
      <w:sz w:val="24"/>
      <w:szCs w:val="24"/>
      <w:lang w:val="en-GB"/>
    </w:rPr>
  </w:style>
  <w:style w:type="paragraph" w:customStyle="1" w:styleId="FreeFormA">
    <w:name w:val="Free Form A"/>
    <w:rsid w:val="00C2208D"/>
    <w:rPr>
      <w:rFonts w:ascii="Helvetica" w:eastAsia="ヒラギノ角ゴ Pro W3" w:hAnsi="Helvetica"/>
      <w:color w:val="000000"/>
      <w:sz w:val="24"/>
      <w:szCs w:val="24"/>
      <w:lang w:val="en-US" w:eastAsia="en-US"/>
    </w:rPr>
  </w:style>
  <w:style w:type="table" w:styleId="Lentelstinklelis">
    <w:name w:val="Table Grid"/>
    <w:basedOn w:val="prastojilentel"/>
    <w:uiPriority w:val="59"/>
    <w:rsid w:val="00F10F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213D26"/>
    <w:rPr>
      <w:sz w:val="16"/>
      <w:szCs w:val="16"/>
    </w:rPr>
  </w:style>
  <w:style w:type="paragraph" w:styleId="Komentarotema">
    <w:name w:val="annotation subject"/>
    <w:basedOn w:val="Komentarotekstas"/>
    <w:next w:val="Komentarotekstas"/>
    <w:link w:val="KomentarotemaDiagrama"/>
    <w:uiPriority w:val="99"/>
    <w:semiHidden/>
    <w:unhideWhenUsed/>
    <w:rsid w:val="00213D26"/>
    <w:rPr>
      <w:b/>
      <w:bCs/>
    </w:rPr>
  </w:style>
  <w:style w:type="character" w:customStyle="1" w:styleId="KomentarotemaDiagrama">
    <w:name w:val="Komentaro tema Diagrama"/>
    <w:basedOn w:val="KomentarotekstasDiagrama"/>
    <w:link w:val="Komentarotema"/>
    <w:uiPriority w:val="99"/>
    <w:semiHidden/>
    <w:rsid w:val="00213D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7567">
      <w:bodyDiv w:val="1"/>
      <w:marLeft w:val="0"/>
      <w:marRight w:val="0"/>
      <w:marTop w:val="0"/>
      <w:marBottom w:val="0"/>
      <w:divBdr>
        <w:top w:val="none" w:sz="0" w:space="0" w:color="auto"/>
        <w:left w:val="none" w:sz="0" w:space="0" w:color="auto"/>
        <w:bottom w:val="none" w:sz="0" w:space="0" w:color="auto"/>
        <w:right w:val="none" w:sz="0" w:space="0" w:color="auto"/>
      </w:divBdr>
    </w:div>
    <w:div w:id="191696699">
      <w:bodyDiv w:val="1"/>
      <w:marLeft w:val="0"/>
      <w:marRight w:val="0"/>
      <w:marTop w:val="0"/>
      <w:marBottom w:val="0"/>
      <w:divBdr>
        <w:top w:val="none" w:sz="0" w:space="0" w:color="auto"/>
        <w:left w:val="none" w:sz="0" w:space="0" w:color="auto"/>
        <w:bottom w:val="none" w:sz="0" w:space="0" w:color="auto"/>
        <w:right w:val="none" w:sz="0" w:space="0" w:color="auto"/>
      </w:divBdr>
    </w:div>
    <w:div w:id="223101254">
      <w:bodyDiv w:val="1"/>
      <w:marLeft w:val="0"/>
      <w:marRight w:val="0"/>
      <w:marTop w:val="0"/>
      <w:marBottom w:val="0"/>
      <w:divBdr>
        <w:top w:val="none" w:sz="0" w:space="0" w:color="auto"/>
        <w:left w:val="none" w:sz="0" w:space="0" w:color="auto"/>
        <w:bottom w:val="none" w:sz="0" w:space="0" w:color="auto"/>
        <w:right w:val="none" w:sz="0" w:space="0" w:color="auto"/>
      </w:divBdr>
    </w:div>
    <w:div w:id="311180312">
      <w:bodyDiv w:val="1"/>
      <w:marLeft w:val="0"/>
      <w:marRight w:val="0"/>
      <w:marTop w:val="0"/>
      <w:marBottom w:val="0"/>
      <w:divBdr>
        <w:top w:val="none" w:sz="0" w:space="0" w:color="auto"/>
        <w:left w:val="none" w:sz="0" w:space="0" w:color="auto"/>
        <w:bottom w:val="none" w:sz="0" w:space="0" w:color="auto"/>
        <w:right w:val="none" w:sz="0" w:space="0" w:color="auto"/>
      </w:divBdr>
    </w:div>
    <w:div w:id="313874024">
      <w:bodyDiv w:val="1"/>
      <w:marLeft w:val="0"/>
      <w:marRight w:val="0"/>
      <w:marTop w:val="0"/>
      <w:marBottom w:val="0"/>
      <w:divBdr>
        <w:top w:val="none" w:sz="0" w:space="0" w:color="auto"/>
        <w:left w:val="none" w:sz="0" w:space="0" w:color="auto"/>
        <w:bottom w:val="none" w:sz="0" w:space="0" w:color="auto"/>
        <w:right w:val="none" w:sz="0" w:space="0" w:color="auto"/>
      </w:divBdr>
    </w:div>
    <w:div w:id="476605055">
      <w:bodyDiv w:val="1"/>
      <w:marLeft w:val="0"/>
      <w:marRight w:val="0"/>
      <w:marTop w:val="0"/>
      <w:marBottom w:val="0"/>
      <w:divBdr>
        <w:top w:val="none" w:sz="0" w:space="0" w:color="auto"/>
        <w:left w:val="none" w:sz="0" w:space="0" w:color="auto"/>
        <w:bottom w:val="none" w:sz="0" w:space="0" w:color="auto"/>
        <w:right w:val="none" w:sz="0" w:space="0" w:color="auto"/>
      </w:divBdr>
    </w:div>
    <w:div w:id="515071578">
      <w:bodyDiv w:val="1"/>
      <w:marLeft w:val="0"/>
      <w:marRight w:val="0"/>
      <w:marTop w:val="0"/>
      <w:marBottom w:val="0"/>
      <w:divBdr>
        <w:top w:val="none" w:sz="0" w:space="0" w:color="auto"/>
        <w:left w:val="none" w:sz="0" w:space="0" w:color="auto"/>
        <w:bottom w:val="none" w:sz="0" w:space="0" w:color="auto"/>
        <w:right w:val="none" w:sz="0" w:space="0" w:color="auto"/>
      </w:divBdr>
    </w:div>
    <w:div w:id="547188315">
      <w:bodyDiv w:val="1"/>
      <w:marLeft w:val="0"/>
      <w:marRight w:val="0"/>
      <w:marTop w:val="0"/>
      <w:marBottom w:val="0"/>
      <w:divBdr>
        <w:top w:val="none" w:sz="0" w:space="0" w:color="auto"/>
        <w:left w:val="none" w:sz="0" w:space="0" w:color="auto"/>
        <w:bottom w:val="none" w:sz="0" w:space="0" w:color="auto"/>
        <w:right w:val="none" w:sz="0" w:space="0" w:color="auto"/>
      </w:divBdr>
    </w:div>
    <w:div w:id="917861080">
      <w:bodyDiv w:val="1"/>
      <w:marLeft w:val="0"/>
      <w:marRight w:val="0"/>
      <w:marTop w:val="0"/>
      <w:marBottom w:val="0"/>
      <w:divBdr>
        <w:top w:val="none" w:sz="0" w:space="0" w:color="auto"/>
        <w:left w:val="none" w:sz="0" w:space="0" w:color="auto"/>
        <w:bottom w:val="none" w:sz="0" w:space="0" w:color="auto"/>
        <w:right w:val="none" w:sz="0" w:space="0" w:color="auto"/>
      </w:divBdr>
    </w:div>
    <w:div w:id="968628546">
      <w:bodyDiv w:val="1"/>
      <w:marLeft w:val="0"/>
      <w:marRight w:val="0"/>
      <w:marTop w:val="0"/>
      <w:marBottom w:val="0"/>
      <w:divBdr>
        <w:top w:val="none" w:sz="0" w:space="0" w:color="auto"/>
        <w:left w:val="none" w:sz="0" w:space="0" w:color="auto"/>
        <w:bottom w:val="none" w:sz="0" w:space="0" w:color="auto"/>
        <w:right w:val="none" w:sz="0" w:space="0" w:color="auto"/>
      </w:divBdr>
    </w:div>
    <w:div w:id="1215852060">
      <w:bodyDiv w:val="1"/>
      <w:marLeft w:val="0"/>
      <w:marRight w:val="0"/>
      <w:marTop w:val="0"/>
      <w:marBottom w:val="0"/>
      <w:divBdr>
        <w:top w:val="none" w:sz="0" w:space="0" w:color="auto"/>
        <w:left w:val="none" w:sz="0" w:space="0" w:color="auto"/>
        <w:bottom w:val="none" w:sz="0" w:space="0" w:color="auto"/>
        <w:right w:val="none" w:sz="0" w:space="0" w:color="auto"/>
      </w:divBdr>
    </w:div>
    <w:div w:id="1269120397">
      <w:bodyDiv w:val="1"/>
      <w:marLeft w:val="0"/>
      <w:marRight w:val="0"/>
      <w:marTop w:val="0"/>
      <w:marBottom w:val="0"/>
      <w:divBdr>
        <w:top w:val="none" w:sz="0" w:space="0" w:color="auto"/>
        <w:left w:val="none" w:sz="0" w:space="0" w:color="auto"/>
        <w:bottom w:val="none" w:sz="0" w:space="0" w:color="auto"/>
        <w:right w:val="none" w:sz="0" w:space="0" w:color="auto"/>
      </w:divBdr>
    </w:div>
    <w:div w:id="1340160604">
      <w:bodyDiv w:val="1"/>
      <w:marLeft w:val="0"/>
      <w:marRight w:val="0"/>
      <w:marTop w:val="0"/>
      <w:marBottom w:val="0"/>
      <w:divBdr>
        <w:top w:val="none" w:sz="0" w:space="0" w:color="auto"/>
        <w:left w:val="none" w:sz="0" w:space="0" w:color="auto"/>
        <w:bottom w:val="none" w:sz="0" w:space="0" w:color="auto"/>
        <w:right w:val="none" w:sz="0" w:space="0" w:color="auto"/>
      </w:divBdr>
    </w:div>
    <w:div w:id="1435250331">
      <w:bodyDiv w:val="1"/>
      <w:marLeft w:val="0"/>
      <w:marRight w:val="0"/>
      <w:marTop w:val="0"/>
      <w:marBottom w:val="0"/>
      <w:divBdr>
        <w:top w:val="none" w:sz="0" w:space="0" w:color="auto"/>
        <w:left w:val="none" w:sz="0" w:space="0" w:color="auto"/>
        <w:bottom w:val="none" w:sz="0" w:space="0" w:color="auto"/>
        <w:right w:val="none" w:sz="0" w:space="0" w:color="auto"/>
      </w:divBdr>
    </w:div>
    <w:div w:id="1647588642">
      <w:bodyDiv w:val="1"/>
      <w:marLeft w:val="0"/>
      <w:marRight w:val="0"/>
      <w:marTop w:val="0"/>
      <w:marBottom w:val="0"/>
      <w:divBdr>
        <w:top w:val="none" w:sz="0" w:space="0" w:color="auto"/>
        <w:left w:val="none" w:sz="0" w:space="0" w:color="auto"/>
        <w:bottom w:val="none" w:sz="0" w:space="0" w:color="auto"/>
        <w:right w:val="none" w:sz="0" w:space="0" w:color="auto"/>
      </w:divBdr>
    </w:div>
    <w:div w:id="1714109470">
      <w:bodyDiv w:val="1"/>
      <w:marLeft w:val="0"/>
      <w:marRight w:val="0"/>
      <w:marTop w:val="0"/>
      <w:marBottom w:val="0"/>
      <w:divBdr>
        <w:top w:val="none" w:sz="0" w:space="0" w:color="auto"/>
        <w:left w:val="none" w:sz="0" w:space="0" w:color="auto"/>
        <w:bottom w:val="none" w:sz="0" w:space="0" w:color="auto"/>
        <w:right w:val="none" w:sz="0" w:space="0" w:color="auto"/>
      </w:divBdr>
    </w:div>
    <w:div w:id="1769735679">
      <w:bodyDiv w:val="1"/>
      <w:marLeft w:val="0"/>
      <w:marRight w:val="0"/>
      <w:marTop w:val="0"/>
      <w:marBottom w:val="0"/>
      <w:divBdr>
        <w:top w:val="none" w:sz="0" w:space="0" w:color="auto"/>
        <w:left w:val="none" w:sz="0" w:space="0" w:color="auto"/>
        <w:bottom w:val="none" w:sz="0" w:space="0" w:color="auto"/>
        <w:right w:val="none" w:sz="0" w:space="0" w:color="auto"/>
      </w:divBdr>
    </w:div>
    <w:div w:id="20505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lt-LT" sz="1200" b="1"/>
              <a:t>Atvėsinto viščiuko broilerio mažmeninės</a:t>
            </a:r>
            <a:r>
              <a:rPr lang="lt-LT" sz="1200" b="1" baseline="0"/>
              <a:t> kainos grandinė </a:t>
            </a:r>
            <a:r>
              <a:rPr lang="lt-LT" sz="1200" b="1" i="0" u="none" strike="noStrike" baseline="0">
                <a:effectLst/>
              </a:rPr>
              <a:t>2016–2019 m.</a:t>
            </a:r>
            <a:r>
              <a:rPr lang="lt-LT" sz="1200" b="1" baseline="0"/>
              <a:t>,</a:t>
            </a:r>
            <a:r>
              <a:rPr lang="lt-LT" sz="1200" b="1"/>
              <a:t> EUR/kg</a:t>
            </a:r>
          </a:p>
        </c:rich>
      </c:tx>
      <c:layout>
        <c:manualLayout>
          <c:xMode val="edge"/>
          <c:yMode val="edge"/>
          <c:x val="0.13000086316859599"/>
          <c:y val="2.7404293075969314E-2"/>
        </c:manualLayout>
      </c:layout>
      <c:overlay val="0"/>
    </c:title>
    <c:autoTitleDeleted val="0"/>
    <c:plotArea>
      <c:layout>
        <c:manualLayout>
          <c:layoutTarget val="inner"/>
          <c:xMode val="edge"/>
          <c:yMode val="edge"/>
          <c:x val="3.833244544926933E-2"/>
          <c:y val="0.10694454477593972"/>
          <c:w val="0.9559892132385891"/>
          <c:h val="0.70509764261118735"/>
        </c:manualLayout>
      </c:layout>
      <c:areaChart>
        <c:grouping val="stacked"/>
        <c:varyColors val="0"/>
        <c:ser>
          <c:idx val="0"/>
          <c:order val="0"/>
          <c:tx>
            <c:strRef>
              <c:f>Sheet1!$A$27</c:f>
              <c:strCache>
                <c:ptCount val="1"/>
                <c:pt idx="0">
                  <c:v>Gamintojų dalis</c:v>
                </c:pt>
              </c:strCache>
            </c:strRef>
          </c:tx>
          <c:spPr>
            <a:solidFill>
              <a:srgbClr val="8EC3A7"/>
            </a:solidFill>
          </c:spPr>
          <c:dLbls>
            <c:dLbl>
              <c:idx val="0"/>
              <c:delete val="1"/>
              <c:extLst xmlns:c16r2="http://schemas.microsoft.com/office/drawing/2015/06/chart">
                <c:ext xmlns:c16="http://schemas.microsoft.com/office/drawing/2014/chart" uri="{C3380CC4-5D6E-409C-BE32-E72D297353CC}">
                  <c16:uniqueId val="{00000000-67B7-44B5-9557-C509BCBA9BD1}"/>
                </c:ex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Sheet1!$B$25:$AN$26</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Sheet1!$B$27:$AN$27</c:f>
              <c:numCache>
                <c:formatCode>0.00</c:formatCode>
                <c:ptCount val="39"/>
                <c:pt idx="0">
                  <c:v>1.35</c:v>
                </c:pt>
                <c:pt idx="1">
                  <c:v>1.3586</c:v>
                </c:pt>
                <c:pt idx="2">
                  <c:v>1.49</c:v>
                </c:pt>
                <c:pt idx="3">
                  <c:v>1.506775</c:v>
                </c:pt>
                <c:pt idx="4">
                  <c:v>1.3865000000000001</c:v>
                </c:pt>
                <c:pt idx="5">
                  <c:v>1.4711000000000001</c:v>
                </c:pt>
                <c:pt idx="6">
                  <c:v>1.474</c:v>
                </c:pt>
                <c:pt idx="7">
                  <c:v>1.43658</c:v>
                </c:pt>
                <c:pt idx="8">
                  <c:v>1.43</c:v>
                </c:pt>
                <c:pt idx="9">
                  <c:v>1.4069</c:v>
                </c:pt>
                <c:pt idx="10">
                  <c:v>1.42</c:v>
                </c:pt>
                <c:pt idx="11">
                  <c:v>1.47</c:v>
                </c:pt>
                <c:pt idx="12">
                  <c:v>1.35</c:v>
                </c:pt>
                <c:pt idx="13">
                  <c:v>1.3586</c:v>
                </c:pt>
                <c:pt idx="14">
                  <c:v>1.49</c:v>
                </c:pt>
                <c:pt idx="15">
                  <c:v>1.506775</c:v>
                </c:pt>
                <c:pt idx="16">
                  <c:v>1.3865000000000001</c:v>
                </c:pt>
                <c:pt idx="17">
                  <c:v>1.4711000000000001</c:v>
                </c:pt>
                <c:pt idx="18">
                  <c:v>1.474</c:v>
                </c:pt>
                <c:pt idx="19">
                  <c:v>1.43658</c:v>
                </c:pt>
                <c:pt idx="20">
                  <c:v>1.43</c:v>
                </c:pt>
                <c:pt idx="21">
                  <c:v>1.4069</c:v>
                </c:pt>
                <c:pt idx="22">
                  <c:v>1.42</c:v>
                </c:pt>
                <c:pt idx="23">
                  <c:v>1.47</c:v>
                </c:pt>
                <c:pt idx="24">
                  <c:v>1.42</c:v>
                </c:pt>
                <c:pt idx="25">
                  <c:v>1.46</c:v>
                </c:pt>
                <c:pt idx="26">
                  <c:v>1.45</c:v>
                </c:pt>
                <c:pt idx="27">
                  <c:v>1.52</c:v>
                </c:pt>
                <c:pt idx="28">
                  <c:v>1.43</c:v>
                </c:pt>
                <c:pt idx="29">
                  <c:v>1.5</c:v>
                </c:pt>
                <c:pt idx="30">
                  <c:v>1.6</c:v>
                </c:pt>
                <c:pt idx="31">
                  <c:v>1.5884</c:v>
                </c:pt>
                <c:pt idx="32">
                  <c:v>1.57</c:v>
                </c:pt>
                <c:pt idx="33">
                  <c:v>1.53</c:v>
                </c:pt>
                <c:pt idx="34">
                  <c:v>1.46</c:v>
                </c:pt>
                <c:pt idx="35">
                  <c:v>1.47</c:v>
                </c:pt>
                <c:pt idx="36">
                  <c:v>1.5474000000000001</c:v>
                </c:pt>
                <c:pt idx="37">
                  <c:v>1.49</c:v>
                </c:pt>
                <c:pt idx="38">
                  <c:v>1.53</c:v>
                </c:pt>
              </c:numCache>
            </c:numRef>
          </c:val>
          <c:extLst xmlns:c16r2="http://schemas.microsoft.com/office/drawing/2015/06/chart">
            <c:ext xmlns:c16="http://schemas.microsoft.com/office/drawing/2014/chart" uri="{C3380CC4-5D6E-409C-BE32-E72D297353CC}">
              <c16:uniqueId val="{00000001-67B7-44B5-9557-C509BCBA9BD1}"/>
            </c:ext>
          </c:extLst>
        </c:ser>
        <c:ser>
          <c:idx val="1"/>
          <c:order val="1"/>
          <c:tx>
            <c:strRef>
              <c:f>Sheet1!$A$29</c:f>
              <c:strCache>
                <c:ptCount val="1"/>
                <c:pt idx="0">
                  <c:v>Mažmeninės prekybos pardavėjų dalis </c:v>
                </c:pt>
              </c:strCache>
            </c:strRef>
          </c:tx>
          <c:spPr>
            <a:solidFill>
              <a:srgbClr val="F5CD64"/>
            </a:solidFill>
          </c:spPr>
          <c:dLbls>
            <c:dLbl>
              <c:idx val="0"/>
              <c:delete val="1"/>
              <c:extLst xmlns:c16r2="http://schemas.microsoft.com/office/drawing/2015/06/chart">
                <c:ext xmlns:c16="http://schemas.microsoft.com/office/drawing/2014/chart" uri="{C3380CC4-5D6E-409C-BE32-E72D297353CC}">
                  <c16:uniqueId val="{00000002-67B7-44B5-9557-C509BCBA9BD1}"/>
                </c:ex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Sheet1!$B$25:$AN$26</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Sheet1!$B$29:$AN$29</c:f>
              <c:numCache>
                <c:formatCode>0.00</c:formatCode>
                <c:ptCount val="39"/>
                <c:pt idx="0">
                  <c:v>0.7822314049586776</c:v>
                </c:pt>
                <c:pt idx="1">
                  <c:v>0.63313553719008286</c:v>
                </c:pt>
                <c:pt idx="2">
                  <c:v>0.41909090909090918</c:v>
                </c:pt>
                <c:pt idx="3">
                  <c:v>0.46843161157024804</c:v>
                </c:pt>
                <c:pt idx="4">
                  <c:v>0.58870661157024795</c:v>
                </c:pt>
                <c:pt idx="5">
                  <c:v>0.47931322314049574</c:v>
                </c:pt>
                <c:pt idx="6">
                  <c:v>0.43509090909090919</c:v>
                </c:pt>
                <c:pt idx="7">
                  <c:v>0.55515553719008293</c:v>
                </c:pt>
                <c:pt idx="8">
                  <c:v>0.57826446280991761</c:v>
                </c:pt>
                <c:pt idx="9">
                  <c:v>0.56830661157024798</c:v>
                </c:pt>
                <c:pt idx="10">
                  <c:v>0.49735537190082635</c:v>
                </c:pt>
                <c:pt idx="11">
                  <c:v>0.63537190082644668</c:v>
                </c:pt>
                <c:pt idx="12">
                  <c:v>0.78842975206611543</c:v>
                </c:pt>
                <c:pt idx="13">
                  <c:v>0.93065619834710755</c:v>
                </c:pt>
                <c:pt idx="14">
                  <c:v>0.74966942148760318</c:v>
                </c:pt>
                <c:pt idx="15">
                  <c:v>0.62132417355371872</c:v>
                </c:pt>
                <c:pt idx="16">
                  <c:v>0.79325206611570231</c:v>
                </c:pt>
                <c:pt idx="17">
                  <c:v>0.63633801652892541</c:v>
                </c:pt>
                <c:pt idx="18">
                  <c:v>0.69790082644628115</c:v>
                </c:pt>
                <c:pt idx="19">
                  <c:v>0.6419323966942152</c:v>
                </c:pt>
                <c:pt idx="20">
                  <c:v>0.58033057851239689</c:v>
                </c:pt>
                <c:pt idx="21">
                  <c:v>0.64268677685950393</c:v>
                </c:pt>
                <c:pt idx="22">
                  <c:v>0.63165289256198376</c:v>
                </c:pt>
                <c:pt idx="23">
                  <c:v>0.64570247933884306</c:v>
                </c:pt>
                <c:pt idx="24">
                  <c:v>0.5738016528925618</c:v>
                </c:pt>
                <c:pt idx="25">
                  <c:v>0.45570247933884311</c:v>
                </c:pt>
                <c:pt idx="26">
                  <c:v>0.63057851239669449</c:v>
                </c:pt>
                <c:pt idx="27">
                  <c:v>0.46677685950413217</c:v>
                </c:pt>
                <c:pt idx="28">
                  <c:v>0.51628099173553732</c:v>
                </c:pt>
                <c:pt idx="29">
                  <c:v>0.40909090909090917</c:v>
                </c:pt>
                <c:pt idx="30">
                  <c:v>0.36198347107437989</c:v>
                </c:pt>
                <c:pt idx="31">
                  <c:v>0.39920330578512431</c:v>
                </c:pt>
                <c:pt idx="32">
                  <c:v>0.51471074380165294</c:v>
                </c:pt>
                <c:pt idx="33">
                  <c:v>0.41214876033057868</c:v>
                </c:pt>
                <c:pt idx="34">
                  <c:v>0.54206611570247931</c:v>
                </c:pt>
                <c:pt idx="35">
                  <c:v>0.49694214876033049</c:v>
                </c:pt>
                <c:pt idx="36">
                  <c:v>0.3402033057851237</c:v>
                </c:pt>
                <c:pt idx="37">
                  <c:v>0.45834710743801654</c:v>
                </c:pt>
                <c:pt idx="38">
                  <c:v>0.39768595041322308</c:v>
                </c:pt>
              </c:numCache>
            </c:numRef>
          </c:val>
          <c:extLst xmlns:c16r2="http://schemas.microsoft.com/office/drawing/2015/06/chart">
            <c:ext xmlns:c16="http://schemas.microsoft.com/office/drawing/2014/chart" uri="{C3380CC4-5D6E-409C-BE32-E72D297353CC}">
              <c16:uniqueId val="{00000003-67B7-44B5-9557-C509BCBA9BD1}"/>
            </c:ext>
          </c:extLst>
        </c:ser>
        <c:ser>
          <c:idx val="2"/>
          <c:order val="2"/>
          <c:tx>
            <c:strRef>
              <c:f>Sheet1!$A$28</c:f>
              <c:strCache>
                <c:ptCount val="1"/>
                <c:pt idx="0">
                  <c:v>PVM dalis </c:v>
                </c:pt>
              </c:strCache>
            </c:strRef>
          </c:tx>
          <c:spPr>
            <a:solidFill>
              <a:srgbClr val="DBDBDB"/>
            </a:solidFill>
          </c:spPr>
          <c:dLbls>
            <c:dLbl>
              <c:idx val="0"/>
              <c:delete val="1"/>
              <c:extLst xmlns:c16r2="http://schemas.microsoft.com/office/drawing/2015/06/chart">
                <c:ext xmlns:c16="http://schemas.microsoft.com/office/drawing/2014/chart" uri="{C3380CC4-5D6E-409C-BE32-E72D297353CC}">
                  <c16:uniqueId val="{00000004-67B7-44B5-9557-C509BCBA9BD1}"/>
                </c:ex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Sheet1!$B$25:$AN$26</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Sheet1!$B$28:$AN$28</c:f>
              <c:numCache>
                <c:formatCode>0.00</c:formatCode>
                <c:ptCount val="39"/>
                <c:pt idx="0">
                  <c:v>0.44776859504132233</c:v>
                </c:pt>
                <c:pt idx="1">
                  <c:v>0.41826446280991741</c:v>
                </c:pt>
                <c:pt idx="2">
                  <c:v>0.40090909090909094</c:v>
                </c:pt>
                <c:pt idx="3">
                  <c:v>0.41479338842975205</c:v>
                </c:pt>
                <c:pt idx="4">
                  <c:v>0.41479338842975205</c:v>
                </c:pt>
                <c:pt idx="5">
                  <c:v>0.40958677685950412</c:v>
                </c:pt>
                <c:pt idx="6">
                  <c:v>0.40090909090909094</c:v>
                </c:pt>
                <c:pt idx="7">
                  <c:v>0.41826446280991741</c:v>
                </c:pt>
                <c:pt idx="8">
                  <c:v>0.42173553719008267</c:v>
                </c:pt>
                <c:pt idx="9">
                  <c:v>0.41479338842975205</c:v>
                </c:pt>
                <c:pt idx="10">
                  <c:v>0.40264462809917351</c:v>
                </c:pt>
                <c:pt idx="11">
                  <c:v>0.44212809917355378</c:v>
                </c:pt>
                <c:pt idx="12">
                  <c:v>0.44907024793388423</c:v>
                </c:pt>
                <c:pt idx="13">
                  <c:v>0.4807438016528926</c:v>
                </c:pt>
                <c:pt idx="14">
                  <c:v>0.47033057851239662</c:v>
                </c:pt>
                <c:pt idx="15">
                  <c:v>0.44690082644628093</c:v>
                </c:pt>
                <c:pt idx="16">
                  <c:v>0.45774793388429746</c:v>
                </c:pt>
                <c:pt idx="17">
                  <c:v>0.44256198347107434</c:v>
                </c:pt>
                <c:pt idx="18">
                  <c:v>0.45609917355371904</c:v>
                </c:pt>
                <c:pt idx="19">
                  <c:v>0.43648760330578518</c:v>
                </c:pt>
                <c:pt idx="20">
                  <c:v>0.42216942148760334</c:v>
                </c:pt>
                <c:pt idx="21">
                  <c:v>0.43041322314049579</c:v>
                </c:pt>
                <c:pt idx="22">
                  <c:v>0.43084710743801657</c:v>
                </c:pt>
                <c:pt idx="23">
                  <c:v>0.44429752066115702</c:v>
                </c:pt>
                <c:pt idx="24">
                  <c:v>0.41869834710743797</c:v>
                </c:pt>
                <c:pt idx="25">
                  <c:v>0.40229752066115704</c:v>
                </c:pt>
                <c:pt idx="26">
                  <c:v>0.43692148760330579</c:v>
                </c:pt>
                <c:pt idx="27">
                  <c:v>0.41722314049586773</c:v>
                </c:pt>
                <c:pt idx="28">
                  <c:v>0.40871900826446284</c:v>
                </c:pt>
                <c:pt idx="29">
                  <c:v>0.40090909090909094</c:v>
                </c:pt>
                <c:pt idx="30">
                  <c:v>0.4120165289256198</c:v>
                </c:pt>
                <c:pt idx="31">
                  <c:v>0.41739669421487607</c:v>
                </c:pt>
                <c:pt idx="32">
                  <c:v>0.43778925619834713</c:v>
                </c:pt>
                <c:pt idx="33">
                  <c:v>0.40785123966942149</c:v>
                </c:pt>
                <c:pt idx="34">
                  <c:v>0.42043388429752065</c:v>
                </c:pt>
                <c:pt idx="35">
                  <c:v>0.41305785123966937</c:v>
                </c:pt>
                <c:pt idx="36">
                  <c:v>0.396396694214876</c:v>
                </c:pt>
                <c:pt idx="37">
                  <c:v>0.40915289256198345</c:v>
                </c:pt>
                <c:pt idx="38">
                  <c:v>0.40481404958677686</c:v>
                </c:pt>
              </c:numCache>
            </c:numRef>
          </c:val>
          <c:extLst xmlns:c16r2="http://schemas.microsoft.com/office/drawing/2015/06/chart">
            <c:ext xmlns:c16="http://schemas.microsoft.com/office/drawing/2014/chart" uri="{C3380CC4-5D6E-409C-BE32-E72D297353CC}">
              <c16:uniqueId val="{00000005-67B7-44B5-9557-C509BCBA9BD1}"/>
            </c:ext>
          </c:extLst>
        </c:ser>
        <c:dLbls>
          <c:showLegendKey val="0"/>
          <c:showVal val="0"/>
          <c:showCatName val="0"/>
          <c:showSerName val="0"/>
          <c:showPercent val="0"/>
          <c:showBubbleSize val="0"/>
        </c:dLbls>
        <c:axId val="1653067328"/>
        <c:axId val="1653070592"/>
      </c:areaChart>
      <c:catAx>
        <c:axId val="1653067328"/>
        <c:scaling>
          <c:orientation val="minMax"/>
        </c:scaling>
        <c:delete val="0"/>
        <c:axPos val="b"/>
        <c:numFmt formatCode="General" sourceLinked="0"/>
        <c:majorTickMark val="none"/>
        <c:minorTickMark val="none"/>
        <c:tickLblPos val="nextTo"/>
        <c:txPr>
          <a:bodyPr/>
          <a:lstStyle/>
          <a:p>
            <a:pPr>
              <a:defRPr sz="900"/>
            </a:pPr>
            <a:endParaRPr lang="en-US"/>
          </a:p>
        </c:txPr>
        <c:crossAx val="1653070592"/>
        <c:crossesAt val="0"/>
        <c:auto val="1"/>
        <c:lblAlgn val="ctr"/>
        <c:lblOffset val="100"/>
        <c:noMultiLvlLbl val="0"/>
      </c:catAx>
      <c:valAx>
        <c:axId val="1653070592"/>
        <c:scaling>
          <c:orientation val="minMax"/>
        </c:scaling>
        <c:delete val="0"/>
        <c:axPos val="l"/>
        <c:majorGridlines/>
        <c:numFmt formatCode="#,##0.00" sourceLinked="0"/>
        <c:majorTickMark val="none"/>
        <c:minorTickMark val="none"/>
        <c:tickLblPos val="nextTo"/>
        <c:txPr>
          <a:bodyPr/>
          <a:lstStyle/>
          <a:p>
            <a:pPr>
              <a:defRPr sz="900" b="0"/>
            </a:pPr>
            <a:endParaRPr lang="en-US"/>
          </a:p>
        </c:txPr>
        <c:crossAx val="1653067328"/>
        <c:crosses val="autoZero"/>
        <c:crossBetween val="midCat"/>
      </c:valAx>
    </c:plotArea>
    <c:legend>
      <c:legendPos val="b"/>
      <c:layout>
        <c:manualLayout>
          <c:xMode val="edge"/>
          <c:yMode val="edge"/>
          <c:x val="7.1908647557669153E-2"/>
          <c:y val="0.89381835083114625"/>
          <c:w val="0.85618281065018231"/>
          <c:h val="9.7082088876821432E-2"/>
        </c:manualLayout>
      </c:layout>
      <c:overlay val="0"/>
      <c:txPr>
        <a:bodyPr/>
        <a:lstStyle/>
        <a:p>
          <a:pPr>
            <a:defRPr sz="900"/>
          </a:pPr>
          <a:endParaRPr lang="en-US"/>
        </a:p>
      </c:txPr>
    </c:legend>
    <c:plotVisOnly val="1"/>
    <c:dispBlanksAs val="zero"/>
    <c:showDLblsOverMax val="0"/>
  </c:chart>
  <c:txPr>
    <a:bodyPr/>
    <a:lstStyle/>
    <a:p>
      <a:pPr>
        <a:defRPr sz="800">
          <a:latin typeface="Times New Roman" pitchFamily="18" charset="0"/>
          <a:cs typeface="Times New Roman" pitchFamily="18"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nchor="t" anchorCtr="1"/>
          <a:lstStyle/>
          <a:p>
            <a:pPr algn="r">
              <a:defRPr sz="1200" b="0"/>
            </a:pPr>
            <a:r>
              <a:rPr lang="lt-LT" sz="1200" b="1"/>
              <a:t>Atvėsinto viščiuko broilerio mažmeninės </a:t>
            </a:r>
            <a:r>
              <a:rPr lang="lt-LT" sz="1200" b="1" i="0" u="none" strike="noStrike" baseline="0">
                <a:effectLst/>
              </a:rPr>
              <a:t>kainos grandnė 2016–2019 m.,</a:t>
            </a:r>
            <a:r>
              <a:rPr lang="lt-LT" sz="1200" b="1" baseline="0"/>
              <a:t> proc</a:t>
            </a:r>
            <a:r>
              <a:rPr lang="lt-LT" sz="1000" b="1" baseline="0"/>
              <a:t>. </a:t>
            </a:r>
            <a:endParaRPr lang="en-US" sz="1000" b="1"/>
          </a:p>
        </c:rich>
      </c:tx>
      <c:layout>
        <c:manualLayout>
          <c:xMode val="edge"/>
          <c:yMode val="edge"/>
          <c:x val="0.13503125405801039"/>
          <c:y val="3.6208729703891572E-2"/>
        </c:manualLayout>
      </c:layout>
      <c:overlay val="0"/>
    </c:title>
    <c:autoTitleDeleted val="0"/>
    <c:plotArea>
      <c:layout>
        <c:manualLayout>
          <c:layoutTarget val="inner"/>
          <c:xMode val="edge"/>
          <c:yMode val="edge"/>
          <c:x val="3.833244544926933E-2"/>
          <c:y val="0.10694454477593972"/>
          <c:w val="0.9559892132385891"/>
          <c:h val="0.70509764261118735"/>
        </c:manualLayout>
      </c:layout>
      <c:areaChart>
        <c:grouping val="stacked"/>
        <c:varyColors val="0"/>
        <c:ser>
          <c:idx val="0"/>
          <c:order val="0"/>
          <c:tx>
            <c:strRef>
              <c:f>Sheet1!$A$63</c:f>
              <c:strCache>
                <c:ptCount val="1"/>
                <c:pt idx="0">
                  <c:v>Gamintojų dalis procentais</c:v>
                </c:pt>
              </c:strCache>
            </c:strRef>
          </c:tx>
          <c:spPr>
            <a:solidFill>
              <a:srgbClr val="8EC3A7"/>
            </a:solidFill>
          </c:spPr>
          <c:dLbls>
            <c:dLbl>
              <c:idx val="0"/>
              <c:delete val="1"/>
              <c:extLst xmlns:c16r2="http://schemas.microsoft.com/office/drawing/2015/06/chart">
                <c:ext xmlns:c16="http://schemas.microsoft.com/office/drawing/2014/chart" uri="{C3380CC4-5D6E-409C-BE32-E72D297353CC}">
                  <c16:uniqueId val="{00000000-0AD2-40FB-B1F5-FDC1FBE24E5D}"/>
                </c:ext>
                <c:ext xmlns:c15="http://schemas.microsoft.com/office/drawing/2012/chart" uri="{CE6537A1-D6FC-4f65-9D91-7224C49458BB}"/>
              </c:extLst>
            </c:dLbl>
            <c:numFmt formatCode="#,##0.0" sourceLinked="0"/>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Sheet1!$B$59:$AN$60</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Sheet1!$B$63:$AN$63</c:f>
              <c:numCache>
                <c:formatCode>0.0</c:formatCode>
                <c:ptCount val="39"/>
                <c:pt idx="0">
                  <c:v>52.325581395348841</c:v>
                </c:pt>
                <c:pt idx="1">
                  <c:v>56.373443983402481</c:v>
                </c:pt>
                <c:pt idx="2">
                  <c:v>64.502164502164504</c:v>
                </c:pt>
                <c:pt idx="3">
                  <c:v>63.044979079497899</c:v>
                </c:pt>
                <c:pt idx="4">
                  <c:v>58.012552301255226</c:v>
                </c:pt>
                <c:pt idx="5">
                  <c:v>62.334745762711876</c:v>
                </c:pt>
                <c:pt idx="6">
                  <c:v>63.809523809523803</c:v>
                </c:pt>
                <c:pt idx="7">
                  <c:v>59.609128630705385</c:v>
                </c:pt>
                <c:pt idx="8">
                  <c:v>58.847736625514401</c:v>
                </c:pt>
                <c:pt idx="9">
                  <c:v>58.86610878661088</c:v>
                </c:pt>
                <c:pt idx="10">
                  <c:v>61.206896551724142</c:v>
                </c:pt>
                <c:pt idx="11">
                  <c:v>57.703631010794886</c:v>
                </c:pt>
                <c:pt idx="12" formatCode="0.00">
                  <c:v>52.173913043478272</c:v>
                </c:pt>
                <c:pt idx="13" formatCode="0.00">
                  <c:v>49.046931407942239</c:v>
                </c:pt>
                <c:pt idx="14" formatCode="0.00">
                  <c:v>54.981549815498155</c:v>
                </c:pt>
                <c:pt idx="15" formatCode="0.00">
                  <c:v>58.515533980582532</c:v>
                </c:pt>
                <c:pt idx="16" formatCode="0.00">
                  <c:v>52.568720379146924</c:v>
                </c:pt>
                <c:pt idx="17" formatCode="0.00">
                  <c:v>57.690196078431377</c:v>
                </c:pt>
                <c:pt idx="18" formatCode="0.00">
                  <c:v>56.088280060882802</c:v>
                </c:pt>
                <c:pt idx="19" formatCode="0.00">
                  <c:v>57.120477137176927</c:v>
                </c:pt>
                <c:pt idx="20" formatCode="0.00">
                  <c:v>58.78725590955807</c:v>
                </c:pt>
                <c:pt idx="21" formatCode="0.00">
                  <c:v>56.729838709677423</c:v>
                </c:pt>
                <c:pt idx="22" formatCode="0.00">
                  <c:v>57.200402819738159</c:v>
                </c:pt>
                <c:pt idx="23" formatCode="0.00">
                  <c:v>57.421875</c:v>
                </c:pt>
                <c:pt idx="24" formatCode="0.00">
                  <c:v>58.860103626943008</c:v>
                </c:pt>
                <c:pt idx="25" formatCode="0.00">
                  <c:v>62.985332182916309</c:v>
                </c:pt>
                <c:pt idx="26" formatCode="0.00">
                  <c:v>57.596822244289967</c:v>
                </c:pt>
                <c:pt idx="27" formatCode="0.00">
                  <c:v>63.227953410981698</c:v>
                </c:pt>
                <c:pt idx="28" formatCode="0.00">
                  <c:v>60.721868365180462</c:v>
                </c:pt>
                <c:pt idx="29" formatCode="0.00">
                  <c:v>64.935064935064929</c:v>
                </c:pt>
                <c:pt idx="30" formatCode="0.00">
                  <c:v>67.396798652064035</c:v>
                </c:pt>
                <c:pt idx="31" formatCode="0.00">
                  <c:v>66.045738045738048</c:v>
                </c:pt>
                <c:pt idx="32" formatCode="0.00">
                  <c:v>62.239841427155604</c:v>
                </c:pt>
                <c:pt idx="33" formatCode="0.00">
                  <c:v>65.106382978723403</c:v>
                </c:pt>
                <c:pt idx="34" formatCode="0.00">
                  <c:v>60.268317853457177</c:v>
                </c:pt>
                <c:pt idx="35" formatCode="0.00">
                  <c:v>61.764705882352942</c:v>
                </c:pt>
                <c:pt idx="36" formatCode="0.00">
                  <c:v>67.749562171628725</c:v>
                </c:pt>
                <c:pt idx="37" formatCode="0.00">
                  <c:v>63.202545068928949</c:v>
                </c:pt>
                <c:pt idx="38" formatCode="0.00">
                  <c:v>65.59485530546624</c:v>
                </c:pt>
              </c:numCache>
            </c:numRef>
          </c:val>
          <c:extLst xmlns:c16r2="http://schemas.microsoft.com/office/drawing/2015/06/chart">
            <c:ext xmlns:c16="http://schemas.microsoft.com/office/drawing/2014/chart" uri="{C3380CC4-5D6E-409C-BE32-E72D297353CC}">
              <c16:uniqueId val="{00000001-0AD2-40FB-B1F5-FDC1FBE24E5D}"/>
            </c:ext>
          </c:extLst>
        </c:ser>
        <c:ser>
          <c:idx val="1"/>
          <c:order val="1"/>
          <c:tx>
            <c:strRef>
              <c:f>Sheet1!$A$62</c:f>
              <c:strCache>
                <c:ptCount val="1"/>
                <c:pt idx="0">
                  <c:v>Mažmeninės prekybos pardavėjų dalis* procentais</c:v>
                </c:pt>
              </c:strCache>
            </c:strRef>
          </c:tx>
          <c:spPr>
            <a:solidFill>
              <a:srgbClr val="F5CD64"/>
            </a:solidFill>
          </c:spPr>
          <c:dLbls>
            <c:dLbl>
              <c:idx val="0"/>
              <c:delete val="1"/>
              <c:extLst xmlns:c16r2="http://schemas.microsoft.com/office/drawing/2015/06/chart">
                <c:ext xmlns:c16="http://schemas.microsoft.com/office/drawing/2014/chart" uri="{C3380CC4-5D6E-409C-BE32-E72D297353CC}">
                  <c16:uniqueId val="{00000002-0AD2-40FB-B1F5-FDC1FBE24E5D}"/>
                </c:ext>
                <c:ext xmlns:c15="http://schemas.microsoft.com/office/drawing/2012/chart" uri="{CE6537A1-D6FC-4f65-9D91-7224C49458BB}"/>
              </c:extLst>
            </c:dLbl>
            <c:numFmt formatCode="#,##0.0" sourceLinked="0"/>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Sheet1!$B$59:$AN$60</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Sheet1!$B$62:$AN$62</c:f>
              <c:numCache>
                <c:formatCode>0.0</c:formatCode>
                <c:ptCount val="39"/>
                <c:pt idx="0">
                  <c:v>30.319046703824714</c:v>
                </c:pt>
                <c:pt idx="1">
                  <c:v>26.271184115771074</c:v>
                </c:pt>
                <c:pt idx="2">
                  <c:v>18.142463597009055</c:v>
                </c:pt>
                <c:pt idx="3">
                  <c:v>19.599649019675649</c:v>
                </c:pt>
                <c:pt idx="4">
                  <c:v>24.632075797918322</c:v>
                </c:pt>
                <c:pt idx="5">
                  <c:v>20.309882336461683</c:v>
                </c:pt>
                <c:pt idx="6">
                  <c:v>18.835104289649749</c:v>
                </c:pt>
                <c:pt idx="7">
                  <c:v>23.035499468468171</c:v>
                </c:pt>
                <c:pt idx="8">
                  <c:v>23.796891473659159</c:v>
                </c:pt>
                <c:pt idx="9">
                  <c:v>23.778519312562675</c:v>
                </c:pt>
                <c:pt idx="10">
                  <c:v>21.437731547449413</c:v>
                </c:pt>
                <c:pt idx="11">
                  <c:v>24.940997088378669</c:v>
                </c:pt>
                <c:pt idx="12" formatCode="0.00">
                  <c:v>30.470715055695287</c:v>
                </c:pt>
                <c:pt idx="13" formatCode="0.00">
                  <c:v>33.59769669123132</c:v>
                </c:pt>
                <c:pt idx="14" formatCode="0.00">
                  <c:v>27.663078283675397</c:v>
                </c:pt>
                <c:pt idx="15" formatCode="0.00">
                  <c:v>24.12909411859102</c:v>
                </c:pt>
                <c:pt idx="16" formatCode="0.00">
                  <c:v>30.075907720026628</c:v>
                </c:pt>
                <c:pt idx="17" formatCode="0.00">
                  <c:v>24.954432020742175</c:v>
                </c:pt>
                <c:pt idx="18" formatCode="0.00">
                  <c:v>26.556348038290757</c:v>
                </c:pt>
                <c:pt idx="19" formatCode="0.00">
                  <c:v>25.524150961996622</c:v>
                </c:pt>
                <c:pt idx="20" formatCode="0.00">
                  <c:v>23.857372189615493</c:v>
                </c:pt>
                <c:pt idx="21" formatCode="0.00">
                  <c:v>25.914789389496129</c:v>
                </c:pt>
                <c:pt idx="22" formatCode="0.00">
                  <c:v>25.444225279435393</c:v>
                </c:pt>
                <c:pt idx="23" formatCode="0.00">
                  <c:v>25.222753099173556</c:v>
                </c:pt>
                <c:pt idx="24" formatCode="0.00">
                  <c:v>23.784524472230544</c:v>
                </c:pt>
                <c:pt idx="25" formatCode="0.00">
                  <c:v>19.659295916257253</c:v>
                </c:pt>
                <c:pt idx="26" formatCode="0.00">
                  <c:v>25.047805854883592</c:v>
                </c:pt>
                <c:pt idx="27" formatCode="0.00">
                  <c:v>19.416674688191854</c:v>
                </c:pt>
                <c:pt idx="28" formatCode="0.00">
                  <c:v>21.92275973399309</c:v>
                </c:pt>
                <c:pt idx="29" formatCode="0.00">
                  <c:v>17.709563164108623</c:v>
                </c:pt>
                <c:pt idx="30" formatCode="0.00">
                  <c:v>15.247829447109517</c:v>
                </c:pt>
                <c:pt idx="31" formatCode="0.00">
                  <c:v>16.598890053435518</c:v>
                </c:pt>
                <c:pt idx="32" formatCode="0.00">
                  <c:v>20.404786672017956</c:v>
                </c:pt>
                <c:pt idx="33" formatCode="0.00">
                  <c:v>17.538245120450156</c:v>
                </c:pt>
                <c:pt idx="34" formatCode="0.00">
                  <c:v>22.376310245716382</c:v>
                </c:pt>
                <c:pt idx="35" formatCode="0.00">
                  <c:v>20.87992221682061</c:v>
                </c:pt>
                <c:pt idx="36" formatCode="0.00">
                  <c:v>14.89506592754482</c:v>
                </c:pt>
                <c:pt idx="37" formatCode="0.00">
                  <c:v>19.442083030244607</c:v>
                </c:pt>
                <c:pt idx="38" formatCode="0.00">
                  <c:v>17.049772793707312</c:v>
                </c:pt>
              </c:numCache>
            </c:numRef>
          </c:val>
          <c:extLst xmlns:c16r2="http://schemas.microsoft.com/office/drawing/2015/06/chart">
            <c:ext xmlns:c16="http://schemas.microsoft.com/office/drawing/2014/chart" uri="{C3380CC4-5D6E-409C-BE32-E72D297353CC}">
              <c16:uniqueId val="{00000003-0AD2-40FB-B1F5-FDC1FBE24E5D}"/>
            </c:ext>
          </c:extLst>
        </c:ser>
        <c:ser>
          <c:idx val="2"/>
          <c:order val="2"/>
          <c:tx>
            <c:strRef>
              <c:f>Sheet1!$A$61</c:f>
              <c:strCache>
                <c:ptCount val="1"/>
                <c:pt idx="0">
                  <c:v>PVM dalis procentais</c:v>
                </c:pt>
              </c:strCache>
            </c:strRef>
          </c:tx>
          <c:spPr>
            <a:solidFill>
              <a:srgbClr val="DBDBDB"/>
            </a:solidFill>
          </c:spPr>
          <c:dLbls>
            <c:dLbl>
              <c:idx val="0"/>
              <c:delete val="1"/>
              <c:extLst xmlns:c16r2="http://schemas.microsoft.com/office/drawing/2015/06/chart">
                <c:ext xmlns:c16="http://schemas.microsoft.com/office/drawing/2014/chart" uri="{C3380CC4-5D6E-409C-BE32-E72D297353CC}">
                  <c16:uniqueId val="{00000004-0AD2-40FB-B1F5-FDC1FBE24E5D}"/>
                </c:ext>
                <c:ext xmlns:c15="http://schemas.microsoft.com/office/drawing/2012/chart" uri="{CE6537A1-D6FC-4f65-9D91-7224C49458BB}"/>
              </c:extLst>
            </c:dLbl>
            <c:numFmt formatCode="#,##0.0" sourceLinked="0"/>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Sheet1!$B$59:$AN$60</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Sheet1!$B$61:$AN$61</c:f>
              <c:numCache>
                <c:formatCode>0.0</c:formatCode>
                <c:ptCount val="39"/>
                <c:pt idx="0">
                  <c:v>17.355371900826448</c:v>
                </c:pt>
                <c:pt idx="1">
                  <c:v>17.355371900826448</c:v>
                </c:pt>
                <c:pt idx="2">
                  <c:v>17.355371900826448</c:v>
                </c:pt>
                <c:pt idx="3">
                  <c:v>17.355371900826444</c:v>
                </c:pt>
                <c:pt idx="4">
                  <c:v>17.355371900826444</c:v>
                </c:pt>
                <c:pt idx="5">
                  <c:v>17.355371900826448</c:v>
                </c:pt>
                <c:pt idx="6">
                  <c:v>17.355371900826448</c:v>
                </c:pt>
                <c:pt idx="7">
                  <c:v>17.355371900826448</c:v>
                </c:pt>
                <c:pt idx="8">
                  <c:v>17.355371900826448</c:v>
                </c:pt>
                <c:pt idx="9">
                  <c:v>17.355371900826444</c:v>
                </c:pt>
                <c:pt idx="10">
                  <c:v>17.355371900826448</c:v>
                </c:pt>
                <c:pt idx="11">
                  <c:v>17.355371900826448</c:v>
                </c:pt>
                <c:pt idx="12" formatCode="0.00">
                  <c:v>17.355371900826444</c:v>
                </c:pt>
                <c:pt idx="13" formatCode="0.00">
                  <c:v>17.355371900826448</c:v>
                </c:pt>
                <c:pt idx="14" formatCode="0.00">
                  <c:v>17.355371900826444</c:v>
                </c:pt>
                <c:pt idx="15" formatCode="0.00">
                  <c:v>17.355371900826448</c:v>
                </c:pt>
                <c:pt idx="16" formatCode="0.00">
                  <c:v>17.355371900826448</c:v>
                </c:pt>
                <c:pt idx="17" formatCode="0.00">
                  <c:v>17.355371900826448</c:v>
                </c:pt>
                <c:pt idx="18" formatCode="0.00">
                  <c:v>17.355371900826448</c:v>
                </c:pt>
                <c:pt idx="19" formatCode="0.00">
                  <c:v>17.355371900826444</c:v>
                </c:pt>
                <c:pt idx="20" formatCode="0.00">
                  <c:v>17.355371900826448</c:v>
                </c:pt>
                <c:pt idx="21" formatCode="0.00">
                  <c:v>17.355371900826448</c:v>
                </c:pt>
                <c:pt idx="22" formatCode="0.00">
                  <c:v>17.355371900826448</c:v>
                </c:pt>
                <c:pt idx="23" formatCode="0.00">
                  <c:v>17.355371900826448</c:v>
                </c:pt>
                <c:pt idx="24" formatCode="0.00">
                  <c:v>17.355371900826448</c:v>
                </c:pt>
                <c:pt idx="25" formatCode="0.00">
                  <c:v>17.355371900826448</c:v>
                </c:pt>
                <c:pt idx="26" formatCode="0.00">
                  <c:v>17.355371900826448</c:v>
                </c:pt>
                <c:pt idx="27" formatCode="0.00">
                  <c:v>17.355371900826444</c:v>
                </c:pt>
                <c:pt idx="28" formatCode="0.00">
                  <c:v>17.355371900826448</c:v>
                </c:pt>
                <c:pt idx="29" formatCode="0.00">
                  <c:v>17.355371900826448</c:v>
                </c:pt>
                <c:pt idx="30" formatCode="0.00">
                  <c:v>17.355371900826448</c:v>
                </c:pt>
                <c:pt idx="31" formatCode="0.00">
                  <c:v>17.355371900826448</c:v>
                </c:pt>
                <c:pt idx="32" formatCode="0.00">
                  <c:v>17.355371900826448</c:v>
                </c:pt>
                <c:pt idx="33" formatCode="0.00">
                  <c:v>17.355371900826448</c:v>
                </c:pt>
                <c:pt idx="34" formatCode="0.00">
                  <c:v>17.355371900826448</c:v>
                </c:pt>
                <c:pt idx="35" formatCode="0.00">
                  <c:v>17.355371900826444</c:v>
                </c:pt>
                <c:pt idx="36" formatCode="0.00">
                  <c:v>17.355371900826448</c:v>
                </c:pt>
                <c:pt idx="37" formatCode="0.00">
                  <c:v>17.355371900826448</c:v>
                </c:pt>
                <c:pt idx="38" formatCode="0.00">
                  <c:v>17.355371900826448</c:v>
                </c:pt>
              </c:numCache>
            </c:numRef>
          </c:val>
          <c:extLst xmlns:c16r2="http://schemas.microsoft.com/office/drawing/2015/06/chart">
            <c:ext xmlns:c16="http://schemas.microsoft.com/office/drawing/2014/chart" uri="{C3380CC4-5D6E-409C-BE32-E72D297353CC}">
              <c16:uniqueId val="{00000005-0AD2-40FB-B1F5-FDC1FBE24E5D}"/>
            </c:ext>
          </c:extLst>
        </c:ser>
        <c:dLbls>
          <c:showLegendKey val="0"/>
          <c:showVal val="0"/>
          <c:showCatName val="0"/>
          <c:showSerName val="0"/>
          <c:showPercent val="0"/>
          <c:showBubbleSize val="0"/>
        </c:dLbls>
        <c:axId val="1653072768"/>
        <c:axId val="1653073312"/>
      </c:areaChart>
      <c:catAx>
        <c:axId val="1653072768"/>
        <c:scaling>
          <c:orientation val="minMax"/>
        </c:scaling>
        <c:delete val="0"/>
        <c:axPos val="b"/>
        <c:numFmt formatCode="General" sourceLinked="0"/>
        <c:majorTickMark val="none"/>
        <c:minorTickMark val="none"/>
        <c:tickLblPos val="nextTo"/>
        <c:txPr>
          <a:bodyPr/>
          <a:lstStyle/>
          <a:p>
            <a:pPr>
              <a:defRPr sz="900"/>
            </a:pPr>
            <a:endParaRPr lang="en-US"/>
          </a:p>
        </c:txPr>
        <c:crossAx val="1653073312"/>
        <c:crosses val="autoZero"/>
        <c:auto val="1"/>
        <c:lblAlgn val="ctr"/>
        <c:lblOffset val="100"/>
        <c:noMultiLvlLbl val="0"/>
      </c:catAx>
      <c:valAx>
        <c:axId val="1653073312"/>
        <c:scaling>
          <c:orientation val="minMax"/>
          <c:max val="100"/>
        </c:scaling>
        <c:delete val="0"/>
        <c:axPos val="l"/>
        <c:majorGridlines/>
        <c:numFmt formatCode="#,##0" sourceLinked="0"/>
        <c:majorTickMark val="none"/>
        <c:minorTickMark val="none"/>
        <c:tickLblPos val="nextTo"/>
        <c:txPr>
          <a:bodyPr/>
          <a:lstStyle/>
          <a:p>
            <a:pPr>
              <a:defRPr sz="900" b="0"/>
            </a:pPr>
            <a:endParaRPr lang="en-US"/>
          </a:p>
        </c:txPr>
        <c:crossAx val="1653072768"/>
        <c:crosses val="autoZero"/>
        <c:crossBetween val="midCat"/>
      </c:valAx>
    </c:plotArea>
    <c:legend>
      <c:legendPos val="b"/>
      <c:layout>
        <c:manualLayout>
          <c:xMode val="edge"/>
          <c:yMode val="edge"/>
          <c:x val="7.1908647557669153E-2"/>
          <c:y val="0.89381835083114625"/>
          <c:w val="0.85618281065018231"/>
          <c:h val="9.7082088876821432E-2"/>
        </c:manualLayout>
      </c:layout>
      <c:overlay val="0"/>
      <c:txPr>
        <a:bodyPr/>
        <a:lstStyle/>
        <a:p>
          <a:pPr>
            <a:defRPr sz="900"/>
          </a:pPr>
          <a:endParaRPr lang="en-US"/>
        </a:p>
      </c:txPr>
    </c:legend>
    <c:plotVisOnly val="1"/>
    <c:dispBlanksAs val="zero"/>
    <c:showDLblsOverMax val="0"/>
  </c:chart>
  <c:txPr>
    <a:bodyPr/>
    <a:lstStyle/>
    <a:p>
      <a:pPr>
        <a:defRPr sz="800">
          <a:latin typeface="Times New Roman" pitchFamily="18" charset="0"/>
          <a:cs typeface="Times New Roman" pitchFamily="18"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solidFill>
                  <a:sysClr val="windowText" lastClr="000000"/>
                </a:solidFill>
                <a:latin typeface="Times New Roman" panose="02020603050405020304" pitchFamily="18" charset="0"/>
                <a:cs typeface="Times New Roman" panose="02020603050405020304" pitchFamily="18" charset="0"/>
              </a:rPr>
              <a:t>Atvėsinto</a:t>
            </a:r>
            <a:r>
              <a:rPr lang="lt-LT" sz="1200" b="1" baseline="0">
                <a:solidFill>
                  <a:sysClr val="windowText" lastClr="000000"/>
                </a:solidFill>
                <a:latin typeface="Times New Roman" panose="02020603050405020304" pitchFamily="18" charset="0"/>
                <a:cs typeface="Times New Roman" panose="02020603050405020304" pitchFamily="18" charset="0"/>
              </a:rPr>
              <a:t> viščiuko broilerio vidutinės gamintojų ir mažmeninė kaina</a:t>
            </a:r>
          </a:p>
          <a:p>
            <a:pPr>
              <a:defRPr/>
            </a:pPr>
            <a:r>
              <a:rPr lang="lt-LT" sz="1200" b="1" baseline="0">
                <a:solidFill>
                  <a:sysClr val="windowText" lastClr="000000"/>
                </a:solidFill>
                <a:latin typeface="Times New Roman" panose="02020603050405020304" pitchFamily="18" charset="0"/>
                <a:cs typeface="Times New Roman" panose="02020603050405020304" pitchFamily="18" charset="0"/>
              </a:rPr>
              <a:t> 2016–2019 m., Eur/kg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'Vista ir kiausiniai'!$A$23</c:f>
              <c:strCache>
                <c:ptCount val="1"/>
                <c:pt idx="0">
                  <c:v>Mažmeninė kaina</c:v>
                </c:pt>
              </c:strCache>
            </c:strRef>
          </c:tx>
          <c:spPr>
            <a:ln w="28575" cap="rnd">
              <a:solidFill>
                <a:schemeClr val="accent1"/>
              </a:solidFill>
              <a:round/>
            </a:ln>
            <a:effectLst/>
          </c:spPr>
          <c:marker>
            <c:symbol val="none"/>
          </c:marker>
          <c:cat>
            <c:multiLvlStrRef>
              <c:f>'Vista ir kiausiniai'!$B$21:$AN$22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'Vista ir kiausiniai'!$B$23:$AN$23</c:f>
              <c:numCache>
                <c:formatCode>0.00</c:formatCode>
                <c:ptCount val="39"/>
                <c:pt idx="0">
                  <c:v>2.5475000000000003</c:v>
                </c:pt>
                <c:pt idx="1">
                  <c:v>2.5874999999999999</c:v>
                </c:pt>
                <c:pt idx="2">
                  <c:v>2.77</c:v>
                </c:pt>
                <c:pt idx="3">
                  <c:v>2.71</c:v>
                </c:pt>
                <c:pt idx="4">
                  <c:v>2.5749999999999997</c:v>
                </c:pt>
                <c:pt idx="5">
                  <c:v>2.6374999999999997</c:v>
                </c:pt>
                <c:pt idx="6">
                  <c:v>2.5499999999999998</c:v>
                </c:pt>
                <c:pt idx="7">
                  <c:v>2.6280000000000001</c:v>
                </c:pt>
                <c:pt idx="8">
                  <c:v>2.5150000000000001</c:v>
                </c:pt>
                <c:pt idx="9">
                  <c:v>2.4325000000000001</c:v>
                </c:pt>
                <c:pt idx="10">
                  <c:v>2.48</c:v>
                </c:pt>
                <c:pt idx="11">
                  <c:v>2.4824999999999999</c:v>
                </c:pt>
                <c:pt idx="12">
                  <c:v>2.56</c:v>
                </c:pt>
                <c:pt idx="13">
                  <c:v>2.4124999999999996</c:v>
                </c:pt>
                <c:pt idx="14">
                  <c:v>2.3180000000000001</c:v>
                </c:pt>
                <c:pt idx="15">
                  <c:v>2.5175000000000001</c:v>
                </c:pt>
                <c:pt idx="16">
                  <c:v>2.4039999999999999</c:v>
                </c:pt>
                <c:pt idx="17">
                  <c:v>2.355</c:v>
                </c:pt>
                <c:pt idx="18">
                  <c:v>2.31</c:v>
                </c:pt>
                <c:pt idx="19">
                  <c:v>2.3739999999999997</c:v>
                </c:pt>
                <c:pt idx="20">
                  <c:v>2.4050000000000002</c:v>
                </c:pt>
                <c:pt idx="21">
                  <c:v>2.5225</c:v>
                </c:pt>
                <c:pt idx="22">
                  <c:v>2.35</c:v>
                </c:pt>
                <c:pt idx="23">
                  <c:v>2.4224999999999999</c:v>
                </c:pt>
                <c:pt idx="24">
                  <c:v>2.38</c:v>
                </c:pt>
                <c:pt idx="25">
                  <c:v>2.2839999999999998</c:v>
                </c:pt>
                <c:pt idx="26">
                  <c:v>2.3574999999999999</c:v>
                </c:pt>
                <c:pt idx="27">
                  <c:v>2.3325</c:v>
                </c:pt>
                <c:pt idx="28">
                  <c:v>2.3360000000000003</c:v>
                </c:pt>
                <c:pt idx="29">
                  <c:v>2.3224999999999998</c:v>
                </c:pt>
                <c:pt idx="30">
                  <c:v>2.2650000000000001</c:v>
                </c:pt>
                <c:pt idx="31">
                  <c:v>2.258</c:v>
                </c:pt>
                <c:pt idx="32">
                  <c:v>2.2325000000000004</c:v>
                </c:pt>
                <c:pt idx="33">
                  <c:v>2.214</c:v>
                </c:pt>
                <c:pt idx="34">
                  <c:v>2.2000000000000002</c:v>
                </c:pt>
                <c:pt idx="35">
                  <c:v>2.2400000000000002</c:v>
                </c:pt>
                <c:pt idx="36">
                  <c:v>2.2000000000000002</c:v>
                </c:pt>
                <c:pt idx="37">
                  <c:v>2.2175000000000002</c:v>
                </c:pt>
                <c:pt idx="38">
                  <c:v>2.2175000000000002</c:v>
                </c:pt>
              </c:numCache>
            </c:numRef>
          </c:val>
          <c:smooth val="0"/>
        </c:ser>
        <c:ser>
          <c:idx val="1"/>
          <c:order val="1"/>
          <c:tx>
            <c:strRef>
              <c:f>'Vista ir kiausiniai'!$A$24</c:f>
              <c:strCache>
                <c:ptCount val="1"/>
                <c:pt idx="0">
                  <c:v>Gamintojų kaina</c:v>
                </c:pt>
              </c:strCache>
            </c:strRef>
          </c:tx>
          <c:spPr>
            <a:ln w="28575" cap="rnd">
              <a:solidFill>
                <a:schemeClr val="accent2"/>
              </a:solidFill>
              <a:round/>
            </a:ln>
            <a:effectLst/>
          </c:spPr>
          <c:marker>
            <c:symbol val="none"/>
          </c:marker>
          <c:dPt>
            <c:idx val="0"/>
            <c:marker>
              <c:symbol val="none"/>
            </c:marker>
            <c:bubble3D val="0"/>
            <c:spPr>
              <a:ln w="28575" cap="rnd">
                <a:solidFill>
                  <a:schemeClr val="tx2"/>
                </a:solidFill>
                <a:round/>
              </a:ln>
              <a:effectLst/>
            </c:spPr>
          </c:dPt>
          <c:cat>
            <c:multiLvlStrRef>
              <c:f>'Vista ir kiausiniai'!$B$21:$AN$22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'Vista ir kiausiniai'!$B$24:$AN$24</c:f>
              <c:numCache>
                <c:formatCode>0.00</c:formatCode>
                <c:ptCount val="39"/>
                <c:pt idx="0">
                  <c:v>1.35</c:v>
                </c:pt>
                <c:pt idx="1">
                  <c:v>1.3586</c:v>
                </c:pt>
                <c:pt idx="2">
                  <c:v>1.49</c:v>
                </c:pt>
                <c:pt idx="3">
                  <c:v>1.506775</c:v>
                </c:pt>
                <c:pt idx="4">
                  <c:v>1.3865000000000001</c:v>
                </c:pt>
                <c:pt idx="5">
                  <c:v>1.4711000000000001</c:v>
                </c:pt>
                <c:pt idx="6">
                  <c:v>1.474</c:v>
                </c:pt>
                <c:pt idx="7">
                  <c:v>1.43658</c:v>
                </c:pt>
                <c:pt idx="8">
                  <c:v>1.43</c:v>
                </c:pt>
                <c:pt idx="9">
                  <c:v>1.4069</c:v>
                </c:pt>
                <c:pt idx="10">
                  <c:v>1.42</c:v>
                </c:pt>
                <c:pt idx="11">
                  <c:v>1.47</c:v>
                </c:pt>
                <c:pt idx="12">
                  <c:v>1.35</c:v>
                </c:pt>
                <c:pt idx="13">
                  <c:v>1.3586</c:v>
                </c:pt>
                <c:pt idx="14">
                  <c:v>1.49</c:v>
                </c:pt>
                <c:pt idx="15">
                  <c:v>1.506775</c:v>
                </c:pt>
                <c:pt idx="16">
                  <c:v>1.3865000000000001</c:v>
                </c:pt>
                <c:pt idx="17">
                  <c:v>1.4711000000000001</c:v>
                </c:pt>
                <c:pt idx="18">
                  <c:v>1.474</c:v>
                </c:pt>
                <c:pt idx="19">
                  <c:v>1.43658</c:v>
                </c:pt>
                <c:pt idx="20">
                  <c:v>1.43</c:v>
                </c:pt>
                <c:pt idx="21">
                  <c:v>1.4069</c:v>
                </c:pt>
                <c:pt idx="22">
                  <c:v>1.42</c:v>
                </c:pt>
                <c:pt idx="23">
                  <c:v>1.47</c:v>
                </c:pt>
                <c:pt idx="24" formatCode="#,##0.00">
                  <c:v>1.42</c:v>
                </c:pt>
                <c:pt idx="25" formatCode="#,##0.00">
                  <c:v>1.46</c:v>
                </c:pt>
                <c:pt idx="26" formatCode="#,##0.00">
                  <c:v>1.45</c:v>
                </c:pt>
                <c:pt idx="27" formatCode="#,##0.00">
                  <c:v>1.52</c:v>
                </c:pt>
                <c:pt idx="28" formatCode="#,##0.00">
                  <c:v>1.43</c:v>
                </c:pt>
                <c:pt idx="29" formatCode="#,##0.00">
                  <c:v>1.5</c:v>
                </c:pt>
                <c:pt idx="30" formatCode="#,##0.00">
                  <c:v>1.6</c:v>
                </c:pt>
                <c:pt idx="31" formatCode="#,##0.00">
                  <c:v>1.5884</c:v>
                </c:pt>
                <c:pt idx="32" formatCode="#,##0.00">
                  <c:v>1.57</c:v>
                </c:pt>
                <c:pt idx="33" formatCode="#,##0.00">
                  <c:v>1.53</c:v>
                </c:pt>
                <c:pt idx="34" formatCode="#,##0.00">
                  <c:v>1.46</c:v>
                </c:pt>
                <c:pt idx="35" formatCode="#,##0.00">
                  <c:v>1.47</c:v>
                </c:pt>
                <c:pt idx="36" formatCode="#,##0.00">
                  <c:v>1.5474000000000001</c:v>
                </c:pt>
                <c:pt idx="37" formatCode="#,##0.00">
                  <c:v>1.49</c:v>
                </c:pt>
                <c:pt idx="38" formatCode="#,##0.00">
                  <c:v>1.53</c:v>
                </c:pt>
              </c:numCache>
            </c:numRef>
          </c:val>
          <c:smooth val="0"/>
        </c:ser>
        <c:dLbls>
          <c:showLegendKey val="0"/>
          <c:showVal val="0"/>
          <c:showCatName val="0"/>
          <c:showSerName val="0"/>
          <c:showPercent val="0"/>
          <c:showBubbleSize val="0"/>
        </c:dLbls>
        <c:smooth val="0"/>
        <c:axId val="1653043392"/>
        <c:axId val="1653046656"/>
      </c:lineChart>
      <c:catAx>
        <c:axId val="165304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46656"/>
        <c:crosses val="autoZero"/>
        <c:auto val="1"/>
        <c:lblAlgn val="ctr"/>
        <c:lblOffset val="100"/>
        <c:noMultiLvlLbl val="0"/>
      </c:catAx>
      <c:valAx>
        <c:axId val="1653046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4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solidFill>
                  <a:sysClr val="windowText" lastClr="000000"/>
                </a:solidFill>
                <a:latin typeface="Times New Roman" panose="02020603050405020304" pitchFamily="18" charset="0"/>
                <a:cs typeface="Times New Roman" panose="02020603050405020304" pitchFamily="18" charset="0"/>
              </a:rPr>
              <a:t>Viščiukų broilerių skerdimai ir</a:t>
            </a:r>
            <a:r>
              <a:rPr lang="lt-LT" sz="1200" b="1" baseline="0">
                <a:solidFill>
                  <a:sysClr val="windowText" lastClr="000000"/>
                </a:solidFill>
                <a:latin typeface="Times New Roman" panose="02020603050405020304" pitchFamily="18" charset="0"/>
                <a:cs typeface="Times New Roman" panose="02020603050405020304" pitchFamily="18" charset="0"/>
              </a:rPr>
              <a:t> gamintojų kainos, 2016–2019 m.</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Lapas3!$B$5:$C$5</c:f>
              <c:strCache>
                <c:ptCount val="2"/>
                <c:pt idx="0">
                  <c:v>Viščiukų broilerių 
skerdimai </c:v>
                </c:pt>
              </c:strCache>
            </c:strRef>
          </c:tx>
          <c:spPr>
            <a:solidFill>
              <a:schemeClr val="accent1"/>
            </a:solidFill>
            <a:ln>
              <a:noFill/>
            </a:ln>
            <a:effectLst/>
          </c:spPr>
          <c:invertIfNegative val="0"/>
          <c:cat>
            <c:multiLvlStrRef>
              <c:f>Lapas3!$D$3:$AP$4</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Lapas3!$D$5:$AP$5</c:f>
              <c:numCache>
                <c:formatCode>0.00</c:formatCode>
                <c:ptCount val="39"/>
                <c:pt idx="0">
                  <c:v>41.92145</c:v>
                </c:pt>
                <c:pt idx="1">
                  <c:v>41.900869999999998</c:v>
                </c:pt>
                <c:pt idx="2">
                  <c:v>44.544339999999998</c:v>
                </c:pt>
                <c:pt idx="3">
                  <c:v>43.044429999999998</c:v>
                </c:pt>
                <c:pt idx="4">
                  <c:v>45.268369999999997</c:v>
                </c:pt>
                <c:pt idx="5">
                  <c:v>42.805880000000002</c:v>
                </c:pt>
                <c:pt idx="6">
                  <c:v>40.799550000000004</c:v>
                </c:pt>
                <c:pt idx="7">
                  <c:v>42.30218</c:v>
                </c:pt>
                <c:pt idx="8">
                  <c:v>44.03772</c:v>
                </c:pt>
                <c:pt idx="9">
                  <c:v>45.081440000000001</c:v>
                </c:pt>
                <c:pt idx="10">
                  <c:v>43.328560000000003</c:v>
                </c:pt>
                <c:pt idx="11">
                  <c:v>43.600369999999998</c:v>
                </c:pt>
                <c:pt idx="12">
                  <c:v>42.184739999999998</c:v>
                </c:pt>
                <c:pt idx="13">
                  <c:v>39.962249999999997</c:v>
                </c:pt>
                <c:pt idx="14">
                  <c:v>45.771909999999998</c:v>
                </c:pt>
                <c:pt idx="15">
                  <c:v>44.940710000000003</c:v>
                </c:pt>
                <c:pt idx="16">
                  <c:v>47.290640000000003</c:v>
                </c:pt>
                <c:pt idx="17">
                  <c:v>45.552520000000001</c:v>
                </c:pt>
                <c:pt idx="18">
                  <c:v>46.409959999999998</c:v>
                </c:pt>
                <c:pt idx="19">
                  <c:v>44.081319999999998</c:v>
                </c:pt>
                <c:pt idx="20">
                  <c:v>45.324170000000002</c:v>
                </c:pt>
                <c:pt idx="21">
                  <c:v>50.91328</c:v>
                </c:pt>
                <c:pt idx="22">
                  <c:v>48.292490000000001</c:v>
                </c:pt>
                <c:pt idx="23">
                  <c:v>46.171469999999999</c:v>
                </c:pt>
                <c:pt idx="24">
                  <c:v>45.228830000000002</c:v>
                </c:pt>
                <c:pt idx="25">
                  <c:v>42.466479999999997</c:v>
                </c:pt>
                <c:pt idx="26">
                  <c:v>48.517020000000002</c:v>
                </c:pt>
                <c:pt idx="27">
                  <c:v>47.335439999999998</c:v>
                </c:pt>
                <c:pt idx="28">
                  <c:v>48.978670000000001</c:v>
                </c:pt>
                <c:pt idx="29">
                  <c:v>45.44021</c:v>
                </c:pt>
                <c:pt idx="30">
                  <c:v>48.175739999999998</c:v>
                </c:pt>
                <c:pt idx="31">
                  <c:v>49.338940000000001</c:v>
                </c:pt>
                <c:pt idx="32">
                  <c:v>44.637639999999998</c:v>
                </c:pt>
                <c:pt idx="33">
                  <c:v>52.394570000000002</c:v>
                </c:pt>
                <c:pt idx="34">
                  <c:v>47.9557</c:v>
                </c:pt>
                <c:pt idx="35">
                  <c:v>47.787880000000001</c:v>
                </c:pt>
                <c:pt idx="36">
                  <c:v>49.719149999999999</c:v>
                </c:pt>
                <c:pt idx="37">
                  <c:v>43.379330000000003</c:v>
                </c:pt>
                <c:pt idx="38">
                  <c:v>44.43139</c:v>
                </c:pt>
              </c:numCache>
            </c:numRef>
          </c:val>
        </c:ser>
        <c:dLbls>
          <c:showLegendKey val="0"/>
          <c:showVal val="0"/>
          <c:showCatName val="0"/>
          <c:showSerName val="0"/>
          <c:showPercent val="0"/>
          <c:showBubbleSize val="0"/>
        </c:dLbls>
        <c:gapWidth val="219"/>
        <c:axId val="1653047744"/>
        <c:axId val="1653056448"/>
      </c:barChart>
      <c:lineChart>
        <c:grouping val="standard"/>
        <c:varyColors val="0"/>
        <c:ser>
          <c:idx val="1"/>
          <c:order val="1"/>
          <c:tx>
            <c:strRef>
              <c:f>Lapas3!$B$6:$C$6</c:f>
              <c:strCache>
                <c:ptCount val="2"/>
                <c:pt idx="0">
                  <c:v>Atvėsintų 
viščiukų broileriių 
gamintojų kaina</c:v>
                </c:pt>
              </c:strCache>
            </c:strRef>
          </c:tx>
          <c:spPr>
            <a:ln w="28575" cap="rnd">
              <a:solidFill>
                <a:schemeClr val="accent2"/>
              </a:solidFill>
              <a:round/>
            </a:ln>
            <a:effectLst/>
          </c:spPr>
          <c:marker>
            <c:symbol val="none"/>
          </c:marker>
          <c:cat>
            <c:multiLvlStrRef>
              <c:f>Lapas3!$D$3:$AP$4</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Lapas3!$D$6:$AP$6</c:f>
              <c:numCache>
                <c:formatCode>0.00</c:formatCode>
                <c:ptCount val="39"/>
                <c:pt idx="0">
                  <c:v>1.35</c:v>
                </c:pt>
                <c:pt idx="1">
                  <c:v>1.3586</c:v>
                </c:pt>
                <c:pt idx="2">
                  <c:v>1.49</c:v>
                </c:pt>
                <c:pt idx="3">
                  <c:v>1.506775</c:v>
                </c:pt>
                <c:pt idx="4">
                  <c:v>1.3865000000000001</c:v>
                </c:pt>
                <c:pt idx="5">
                  <c:v>1.4711000000000001</c:v>
                </c:pt>
                <c:pt idx="6">
                  <c:v>1.474</c:v>
                </c:pt>
                <c:pt idx="7">
                  <c:v>1.43658</c:v>
                </c:pt>
                <c:pt idx="8">
                  <c:v>1.43</c:v>
                </c:pt>
                <c:pt idx="9">
                  <c:v>1.4069</c:v>
                </c:pt>
                <c:pt idx="10">
                  <c:v>1.42</c:v>
                </c:pt>
                <c:pt idx="11">
                  <c:v>1.47</c:v>
                </c:pt>
                <c:pt idx="12">
                  <c:v>1.35</c:v>
                </c:pt>
                <c:pt idx="13">
                  <c:v>1.3586</c:v>
                </c:pt>
                <c:pt idx="14">
                  <c:v>1.49</c:v>
                </c:pt>
                <c:pt idx="15">
                  <c:v>1.506775</c:v>
                </c:pt>
                <c:pt idx="16">
                  <c:v>1.3865000000000001</c:v>
                </c:pt>
                <c:pt idx="17">
                  <c:v>1.4711000000000001</c:v>
                </c:pt>
                <c:pt idx="18">
                  <c:v>1.474</c:v>
                </c:pt>
                <c:pt idx="19">
                  <c:v>1.43658</c:v>
                </c:pt>
                <c:pt idx="20">
                  <c:v>1.43</c:v>
                </c:pt>
                <c:pt idx="21">
                  <c:v>1.4069</c:v>
                </c:pt>
                <c:pt idx="22">
                  <c:v>1.42</c:v>
                </c:pt>
                <c:pt idx="23">
                  <c:v>1.47</c:v>
                </c:pt>
                <c:pt idx="24" formatCode="#,##0.00">
                  <c:v>1.42</c:v>
                </c:pt>
                <c:pt idx="25" formatCode="#,##0.00">
                  <c:v>1.46</c:v>
                </c:pt>
                <c:pt idx="26" formatCode="#,##0.00">
                  <c:v>1.45</c:v>
                </c:pt>
                <c:pt idx="27" formatCode="#,##0.00">
                  <c:v>1.52</c:v>
                </c:pt>
                <c:pt idx="28" formatCode="#,##0.00">
                  <c:v>1.43</c:v>
                </c:pt>
                <c:pt idx="29" formatCode="#,##0.00">
                  <c:v>1.5</c:v>
                </c:pt>
                <c:pt idx="30" formatCode="#,##0.00">
                  <c:v>1.6</c:v>
                </c:pt>
                <c:pt idx="31" formatCode="#,##0.00">
                  <c:v>1.5884</c:v>
                </c:pt>
                <c:pt idx="32" formatCode="#,##0.00">
                  <c:v>1.57</c:v>
                </c:pt>
                <c:pt idx="33" formatCode="#,##0.00">
                  <c:v>1.53</c:v>
                </c:pt>
                <c:pt idx="34" formatCode="#,##0.00">
                  <c:v>1.46</c:v>
                </c:pt>
                <c:pt idx="35" formatCode="#,##0.00">
                  <c:v>1.47</c:v>
                </c:pt>
                <c:pt idx="36" formatCode="#,##0.00">
                  <c:v>1.5474000000000001</c:v>
                </c:pt>
                <c:pt idx="37" formatCode="#,##0.00">
                  <c:v>1.49</c:v>
                </c:pt>
                <c:pt idx="38" formatCode="#,##0.00">
                  <c:v>1.53</c:v>
                </c:pt>
              </c:numCache>
            </c:numRef>
          </c:val>
          <c:smooth val="0"/>
        </c:ser>
        <c:dLbls>
          <c:showLegendKey val="0"/>
          <c:showVal val="0"/>
          <c:showCatName val="0"/>
          <c:showSerName val="0"/>
          <c:showPercent val="0"/>
          <c:showBubbleSize val="0"/>
        </c:dLbls>
        <c:marker val="1"/>
        <c:smooth val="0"/>
        <c:axId val="1653058624"/>
        <c:axId val="1653054816"/>
      </c:lineChart>
      <c:catAx>
        <c:axId val="1653047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56448"/>
        <c:crosses val="autoZero"/>
        <c:auto val="1"/>
        <c:lblAlgn val="ctr"/>
        <c:lblOffset val="100"/>
        <c:noMultiLvlLbl val="0"/>
      </c:catAx>
      <c:valAx>
        <c:axId val="1653056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47744"/>
        <c:crosses val="autoZero"/>
        <c:crossBetween val="between"/>
      </c:valAx>
      <c:valAx>
        <c:axId val="165305481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58624"/>
        <c:crosses val="max"/>
        <c:crossBetween val="between"/>
      </c:valAx>
      <c:catAx>
        <c:axId val="1653058624"/>
        <c:scaling>
          <c:orientation val="minMax"/>
        </c:scaling>
        <c:delete val="1"/>
        <c:axPos val="b"/>
        <c:numFmt formatCode="General" sourceLinked="1"/>
        <c:majorTickMark val="out"/>
        <c:minorTickMark val="none"/>
        <c:tickLblPos val="nextTo"/>
        <c:crossAx val="1653054816"/>
        <c:crosses val="autoZero"/>
        <c:auto val="1"/>
        <c:lblAlgn val="ctr"/>
        <c:lblOffset val="100"/>
        <c:noMultiLvlLbl val="0"/>
      </c:catAx>
      <c:spPr>
        <a:noFill/>
        <a:ln>
          <a:noFill/>
        </a:ln>
        <a:effectLst/>
      </c:spPr>
    </c:plotArea>
    <c:legend>
      <c:legendPos val="b"/>
      <c:layout>
        <c:manualLayout>
          <c:xMode val="edge"/>
          <c:yMode val="edge"/>
          <c:x val="9.6962617292947306E-2"/>
          <c:y val="0.82062013434761327"/>
          <c:w val="0.85722551943324277"/>
          <c:h val="0.130415647196642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en-US" sz="1200" b="1"/>
              <a:t>Vidutin</a:t>
            </a:r>
            <a:r>
              <a:rPr lang="lt-LT" sz="1200" b="1"/>
              <a:t>ės</a:t>
            </a:r>
            <a:r>
              <a:rPr lang="lt-LT" sz="1200" b="1" baseline="0"/>
              <a:t> didemninės viščiukų broilerių kainos Lietuvoje, Latvijoje, Estijoje ir Lenkijoje, 2016–2019 m. , EUR/kg (be PVM)</a:t>
            </a:r>
            <a:endParaRPr lang="en-US" sz="1200" b="1"/>
          </a:p>
        </c:rich>
      </c:tx>
      <c:layout>
        <c:manualLayout>
          <c:xMode val="edge"/>
          <c:yMode val="edge"/>
          <c:x val="0.1238740157480315"/>
          <c:y val="3.7184579400161288E-2"/>
        </c:manualLayout>
      </c:layout>
      <c:overlay val="0"/>
    </c:title>
    <c:autoTitleDeleted val="0"/>
    <c:plotArea>
      <c:layout>
        <c:manualLayout>
          <c:layoutTarget val="inner"/>
          <c:xMode val="edge"/>
          <c:yMode val="edge"/>
          <c:x val="8.1533391659375898E-2"/>
          <c:y val="0.17583602310807753"/>
          <c:w val="0.82771583552056005"/>
          <c:h val="0.6038337589299354"/>
        </c:manualLayout>
      </c:layout>
      <c:lineChart>
        <c:grouping val="standard"/>
        <c:varyColors val="0"/>
        <c:ser>
          <c:idx val="0"/>
          <c:order val="0"/>
          <c:tx>
            <c:strRef>
              <c:f>Sheet1!$A$9</c:f>
              <c:strCache>
                <c:ptCount val="1"/>
                <c:pt idx="0">
                  <c:v>Lietuva </c:v>
                </c:pt>
              </c:strCache>
            </c:strRef>
          </c:tx>
          <c:spPr>
            <a:ln w="25400">
              <a:solidFill>
                <a:srgbClr val="008000"/>
              </a:solidFill>
              <a:prstDash val="solid"/>
            </a:ln>
          </c:spPr>
          <c:marker>
            <c:symbol val="diamond"/>
            <c:size val="5"/>
            <c:spPr>
              <a:solidFill>
                <a:srgbClr val="008000"/>
              </a:solidFill>
              <a:ln>
                <a:solidFill>
                  <a:schemeClr val="tx1"/>
                </a:solidFill>
                <a:prstDash val="solid"/>
              </a:ln>
            </c:spPr>
          </c:marker>
          <c:cat>
            <c:multiLvlStrRef>
              <c:f>Sheet1!$B$7:$AN$8</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Sheet1!$B$9:$AN$9</c:f>
              <c:numCache>
                <c:formatCode>0.00</c:formatCode>
                <c:ptCount val="39"/>
                <c:pt idx="0">
                  <c:v>1.35</c:v>
                </c:pt>
                <c:pt idx="1">
                  <c:v>1.3586</c:v>
                </c:pt>
                <c:pt idx="2" formatCode="General">
                  <c:v>1.49</c:v>
                </c:pt>
                <c:pt idx="3">
                  <c:v>1.506775</c:v>
                </c:pt>
                <c:pt idx="4">
                  <c:v>1.3865000000000001</c:v>
                </c:pt>
                <c:pt idx="5">
                  <c:v>1.4711000000000001</c:v>
                </c:pt>
                <c:pt idx="6">
                  <c:v>1.474</c:v>
                </c:pt>
                <c:pt idx="7">
                  <c:v>1.43658</c:v>
                </c:pt>
                <c:pt idx="8">
                  <c:v>1.43</c:v>
                </c:pt>
                <c:pt idx="9">
                  <c:v>1.4069</c:v>
                </c:pt>
                <c:pt idx="10">
                  <c:v>1.42</c:v>
                </c:pt>
                <c:pt idx="11">
                  <c:v>1.47</c:v>
                </c:pt>
                <c:pt idx="12">
                  <c:v>1.35</c:v>
                </c:pt>
                <c:pt idx="13">
                  <c:v>1.3586</c:v>
                </c:pt>
                <c:pt idx="14" formatCode="General">
                  <c:v>1.49</c:v>
                </c:pt>
                <c:pt idx="15">
                  <c:v>1.506775</c:v>
                </c:pt>
                <c:pt idx="16">
                  <c:v>1.3865000000000001</c:v>
                </c:pt>
                <c:pt idx="17">
                  <c:v>1.4711000000000001</c:v>
                </c:pt>
                <c:pt idx="18">
                  <c:v>1.474</c:v>
                </c:pt>
                <c:pt idx="19">
                  <c:v>1.43658</c:v>
                </c:pt>
                <c:pt idx="20">
                  <c:v>1.43</c:v>
                </c:pt>
                <c:pt idx="21">
                  <c:v>1.4069</c:v>
                </c:pt>
                <c:pt idx="22" formatCode="General">
                  <c:v>1.42</c:v>
                </c:pt>
                <c:pt idx="23">
                  <c:v>1.47</c:v>
                </c:pt>
                <c:pt idx="24">
                  <c:v>1.42</c:v>
                </c:pt>
                <c:pt idx="25">
                  <c:v>1.46</c:v>
                </c:pt>
                <c:pt idx="26">
                  <c:v>1.45</c:v>
                </c:pt>
                <c:pt idx="27">
                  <c:v>1.52</c:v>
                </c:pt>
                <c:pt idx="28">
                  <c:v>1.43</c:v>
                </c:pt>
                <c:pt idx="29">
                  <c:v>1.5</c:v>
                </c:pt>
                <c:pt idx="30">
                  <c:v>1.6</c:v>
                </c:pt>
                <c:pt idx="31">
                  <c:v>1.5884</c:v>
                </c:pt>
                <c:pt idx="32">
                  <c:v>1.57</c:v>
                </c:pt>
                <c:pt idx="33">
                  <c:v>1.53</c:v>
                </c:pt>
                <c:pt idx="34" formatCode="General">
                  <c:v>1.46</c:v>
                </c:pt>
                <c:pt idx="35">
                  <c:v>1.47</c:v>
                </c:pt>
                <c:pt idx="36">
                  <c:v>1.5474000000000001</c:v>
                </c:pt>
                <c:pt idx="37">
                  <c:v>1.49</c:v>
                </c:pt>
                <c:pt idx="38">
                  <c:v>1.53</c:v>
                </c:pt>
              </c:numCache>
            </c:numRef>
          </c:val>
          <c:smooth val="0"/>
        </c:ser>
        <c:ser>
          <c:idx val="1"/>
          <c:order val="1"/>
          <c:tx>
            <c:strRef>
              <c:f>Sheet1!$A$10</c:f>
              <c:strCache>
                <c:ptCount val="1"/>
                <c:pt idx="0">
                  <c:v>Latvija </c:v>
                </c:pt>
              </c:strCache>
            </c:strRef>
          </c:tx>
          <c:marker>
            <c:symbol val="square"/>
            <c:size val="5"/>
          </c:marker>
          <c:cat>
            <c:multiLvlStrRef>
              <c:f>Sheet1!$B$7:$AN$8</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Sheet1!$B$10:$AN$10</c:f>
              <c:numCache>
                <c:formatCode>0.00</c:formatCode>
                <c:ptCount val="39"/>
                <c:pt idx="0">
                  <c:v>1.59</c:v>
                </c:pt>
                <c:pt idx="1">
                  <c:v>1.59</c:v>
                </c:pt>
                <c:pt idx="2">
                  <c:v>1.61</c:v>
                </c:pt>
                <c:pt idx="3">
                  <c:v>1.5</c:v>
                </c:pt>
                <c:pt idx="4">
                  <c:v>1.5</c:v>
                </c:pt>
                <c:pt idx="5">
                  <c:v>1.58</c:v>
                </c:pt>
                <c:pt idx="6">
                  <c:v>1.58</c:v>
                </c:pt>
                <c:pt idx="7">
                  <c:v>1.58</c:v>
                </c:pt>
                <c:pt idx="8">
                  <c:v>1.58</c:v>
                </c:pt>
                <c:pt idx="9">
                  <c:v>1.49</c:v>
                </c:pt>
                <c:pt idx="10">
                  <c:v>1.59</c:v>
                </c:pt>
                <c:pt idx="11">
                  <c:v>1.58</c:v>
                </c:pt>
                <c:pt idx="12">
                  <c:v>1.56</c:v>
                </c:pt>
                <c:pt idx="13">
                  <c:v>1.6</c:v>
                </c:pt>
                <c:pt idx="14">
                  <c:v>1.58</c:v>
                </c:pt>
                <c:pt idx="15">
                  <c:v>1.54</c:v>
                </c:pt>
                <c:pt idx="16">
                  <c:v>1.61</c:v>
                </c:pt>
                <c:pt idx="17">
                  <c:v>1.61</c:v>
                </c:pt>
                <c:pt idx="18">
                  <c:v>1.64</c:v>
                </c:pt>
                <c:pt idx="19">
                  <c:v>1.66</c:v>
                </c:pt>
                <c:pt idx="20">
                  <c:v>1.64</c:v>
                </c:pt>
                <c:pt idx="21">
                  <c:v>1.64</c:v>
                </c:pt>
                <c:pt idx="22">
                  <c:v>1.62</c:v>
                </c:pt>
                <c:pt idx="23">
                  <c:v>1.67</c:v>
                </c:pt>
                <c:pt idx="24">
                  <c:v>1.65</c:v>
                </c:pt>
                <c:pt idx="25">
                  <c:v>1.64</c:v>
                </c:pt>
                <c:pt idx="26" formatCode="General">
                  <c:v>1.63</c:v>
                </c:pt>
                <c:pt idx="27">
                  <c:v>1.63</c:v>
                </c:pt>
                <c:pt idx="28">
                  <c:v>1.64</c:v>
                </c:pt>
                <c:pt idx="29">
                  <c:v>1.66</c:v>
                </c:pt>
                <c:pt idx="30">
                  <c:v>1.73</c:v>
                </c:pt>
                <c:pt idx="31">
                  <c:v>1.72</c:v>
                </c:pt>
                <c:pt idx="32">
                  <c:v>1.67</c:v>
                </c:pt>
                <c:pt idx="33">
                  <c:v>1.66</c:v>
                </c:pt>
                <c:pt idx="34">
                  <c:v>1.66</c:v>
                </c:pt>
                <c:pt idx="35">
                  <c:v>1.65</c:v>
                </c:pt>
                <c:pt idx="36">
                  <c:v>1.66</c:v>
                </c:pt>
                <c:pt idx="37">
                  <c:v>1.66</c:v>
                </c:pt>
                <c:pt idx="38" formatCode="General">
                  <c:v>1.68</c:v>
                </c:pt>
              </c:numCache>
            </c:numRef>
          </c:val>
          <c:smooth val="0"/>
        </c:ser>
        <c:ser>
          <c:idx val="2"/>
          <c:order val="2"/>
          <c:tx>
            <c:strRef>
              <c:f>Sheet1!$A$11</c:f>
              <c:strCache>
                <c:ptCount val="1"/>
                <c:pt idx="0">
                  <c:v>Estija </c:v>
                </c:pt>
              </c:strCache>
            </c:strRef>
          </c:tx>
          <c:cat>
            <c:multiLvlStrRef>
              <c:f>Sheet1!$B$7:$AN$8</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Sheet1!$B$11:$AN$11</c:f>
              <c:numCache>
                <c:formatCode>0.00</c:formatCode>
                <c:ptCount val="39"/>
                <c:pt idx="0">
                  <c:v>1.52</c:v>
                </c:pt>
                <c:pt idx="1">
                  <c:v>1.66</c:v>
                </c:pt>
                <c:pt idx="2">
                  <c:v>1.89</c:v>
                </c:pt>
                <c:pt idx="3">
                  <c:v>1.87</c:v>
                </c:pt>
                <c:pt idx="4">
                  <c:v>1.86</c:v>
                </c:pt>
                <c:pt idx="5">
                  <c:v>1.85</c:v>
                </c:pt>
                <c:pt idx="6">
                  <c:v>1.85</c:v>
                </c:pt>
                <c:pt idx="7">
                  <c:v>1.74</c:v>
                </c:pt>
                <c:pt idx="8">
                  <c:v>1.79</c:v>
                </c:pt>
                <c:pt idx="9">
                  <c:v>1.71</c:v>
                </c:pt>
                <c:pt idx="10">
                  <c:v>1.55</c:v>
                </c:pt>
                <c:pt idx="11">
                  <c:v>1.61</c:v>
                </c:pt>
                <c:pt idx="12">
                  <c:v>1.6</c:v>
                </c:pt>
                <c:pt idx="13">
                  <c:v>1.61</c:v>
                </c:pt>
                <c:pt idx="14">
                  <c:v>1.59</c:v>
                </c:pt>
                <c:pt idx="15">
                  <c:v>1.6</c:v>
                </c:pt>
                <c:pt idx="16">
                  <c:v>1.63</c:v>
                </c:pt>
                <c:pt idx="17">
                  <c:v>1.64</c:v>
                </c:pt>
                <c:pt idx="18">
                  <c:v>1.63</c:v>
                </c:pt>
                <c:pt idx="19">
                  <c:v>1.63</c:v>
                </c:pt>
                <c:pt idx="20">
                  <c:v>1.64</c:v>
                </c:pt>
                <c:pt idx="21">
                  <c:v>1.64</c:v>
                </c:pt>
                <c:pt idx="22">
                  <c:v>1.63</c:v>
                </c:pt>
                <c:pt idx="23">
                  <c:v>1.69</c:v>
                </c:pt>
                <c:pt idx="24">
                  <c:v>1.65</c:v>
                </c:pt>
                <c:pt idx="26">
                  <c:v>1.6</c:v>
                </c:pt>
              </c:numCache>
            </c:numRef>
          </c:val>
          <c:smooth val="0"/>
        </c:ser>
        <c:ser>
          <c:idx val="3"/>
          <c:order val="3"/>
          <c:tx>
            <c:strRef>
              <c:f>Sheet1!$A$12</c:f>
              <c:strCache>
                <c:ptCount val="1"/>
                <c:pt idx="0">
                  <c:v>Lenkija </c:v>
                </c:pt>
              </c:strCache>
            </c:strRef>
          </c:tx>
          <c:marker>
            <c:symbol val="diamond"/>
            <c:size val="7"/>
            <c:spPr>
              <a:ln>
                <a:solidFill>
                  <a:schemeClr val="accent4">
                    <a:lumMod val="60000"/>
                    <a:lumOff val="40000"/>
                  </a:schemeClr>
                </a:solidFill>
              </a:ln>
            </c:spPr>
          </c:marker>
          <c:dPt>
            <c:idx val="21"/>
            <c:bubble3D val="0"/>
          </c:dPt>
          <c:cat>
            <c:multiLvlStrRef>
              <c:f>Sheet1!$B$7:$AN$8</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Sheet1!$B$12:$AN$12</c:f>
              <c:numCache>
                <c:formatCode>0.00</c:formatCode>
                <c:ptCount val="39"/>
                <c:pt idx="0">
                  <c:v>1.1499999999999999</c:v>
                </c:pt>
                <c:pt idx="1">
                  <c:v>1.1599999999999999</c:v>
                </c:pt>
                <c:pt idx="2">
                  <c:v>1.26</c:v>
                </c:pt>
                <c:pt idx="3">
                  <c:v>1.1200000000000001</c:v>
                </c:pt>
                <c:pt idx="4">
                  <c:v>1.29</c:v>
                </c:pt>
                <c:pt idx="5">
                  <c:v>1.22</c:v>
                </c:pt>
                <c:pt idx="6">
                  <c:v>1.29</c:v>
                </c:pt>
                <c:pt idx="7">
                  <c:v>1.32</c:v>
                </c:pt>
                <c:pt idx="8">
                  <c:v>1.19</c:v>
                </c:pt>
                <c:pt idx="9">
                  <c:v>1.0900000000000001</c:v>
                </c:pt>
                <c:pt idx="10">
                  <c:v>1.08</c:v>
                </c:pt>
                <c:pt idx="11">
                  <c:v>1.05</c:v>
                </c:pt>
                <c:pt idx="12">
                  <c:v>1.0900000000000001</c:v>
                </c:pt>
                <c:pt idx="13">
                  <c:v>1.2</c:v>
                </c:pt>
                <c:pt idx="14">
                  <c:v>1.25</c:v>
                </c:pt>
                <c:pt idx="15">
                  <c:v>1.1200000000000001</c:v>
                </c:pt>
                <c:pt idx="16">
                  <c:v>1.1200000000000001</c:v>
                </c:pt>
                <c:pt idx="17">
                  <c:v>1.2928110000000002</c:v>
                </c:pt>
                <c:pt idx="18">
                  <c:v>1.3158380000000001</c:v>
                </c:pt>
                <c:pt idx="19">
                  <c:v>1.3090000000000002</c:v>
                </c:pt>
                <c:pt idx="20">
                  <c:v>1.2709000000000001</c:v>
                </c:pt>
                <c:pt idx="21">
                  <c:v>1.2237</c:v>
                </c:pt>
                <c:pt idx="22">
                  <c:v>1.2673000000000001</c:v>
                </c:pt>
                <c:pt idx="23">
                  <c:v>1.2329999999999999</c:v>
                </c:pt>
                <c:pt idx="24">
                  <c:v>1.2466999999999999</c:v>
                </c:pt>
                <c:pt idx="25">
                  <c:v>1.3271999999999999</c:v>
                </c:pt>
                <c:pt idx="26">
                  <c:v>1.319</c:v>
                </c:pt>
                <c:pt idx="27">
                  <c:v>1.2519</c:v>
                </c:pt>
                <c:pt idx="28">
                  <c:v>1.2853999999999999</c:v>
                </c:pt>
                <c:pt idx="29">
                  <c:v>1.3768</c:v>
                </c:pt>
                <c:pt idx="30">
                  <c:v>1.4054</c:v>
                </c:pt>
                <c:pt idx="31">
                  <c:v>1.4191999999999998</c:v>
                </c:pt>
                <c:pt idx="32">
                  <c:v>1.2968999999999999</c:v>
                </c:pt>
                <c:pt idx="33">
                  <c:v>1.1867000000000001</c:v>
                </c:pt>
                <c:pt idx="34">
                  <c:v>1.1368</c:v>
                </c:pt>
                <c:pt idx="35">
                  <c:v>1.0358000000000001</c:v>
                </c:pt>
                <c:pt idx="36">
                  <c:v>1.1101999999999999</c:v>
                </c:pt>
                <c:pt idx="37">
                  <c:v>1.2818000000000001</c:v>
                </c:pt>
                <c:pt idx="38">
                  <c:v>1.3246</c:v>
                </c:pt>
              </c:numCache>
            </c:numRef>
          </c:val>
          <c:smooth val="0"/>
        </c:ser>
        <c:ser>
          <c:idx val="4"/>
          <c:order val="4"/>
          <c:tx>
            <c:strRef>
              <c:f>Sheet1!$A$13</c:f>
              <c:strCache>
                <c:ptCount val="1"/>
                <c:pt idx="0">
                  <c:v>vidutinė ES </c:v>
                </c:pt>
              </c:strCache>
            </c:strRef>
          </c:tx>
          <c:marker>
            <c:symbol val="circle"/>
            <c:size val="5"/>
          </c:marker>
          <c:cat>
            <c:multiLvlStrRef>
              <c:f>Sheet1!$B$7:$AN$8</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2016</c:v>
                  </c:pt>
                  <c:pt idx="12">
                    <c:v>2017</c:v>
                  </c:pt>
                  <c:pt idx="24">
                    <c:v>2018</c:v>
                  </c:pt>
                  <c:pt idx="36">
                    <c:v>2019</c:v>
                  </c:pt>
                </c:lvl>
              </c:multiLvlStrCache>
            </c:multiLvlStrRef>
          </c:cat>
          <c:val>
            <c:numRef>
              <c:f>Sheet1!$B$13:$AN$13</c:f>
              <c:numCache>
                <c:formatCode>0.00</c:formatCode>
                <c:ptCount val="39"/>
                <c:pt idx="0">
                  <c:v>1.790762</c:v>
                </c:pt>
                <c:pt idx="1">
                  <c:v>1.761698</c:v>
                </c:pt>
                <c:pt idx="2">
                  <c:v>1.7859630000000002</c:v>
                </c:pt>
                <c:pt idx="3">
                  <c:v>1.776799</c:v>
                </c:pt>
                <c:pt idx="4">
                  <c:v>1.8183119999999999</c:v>
                </c:pt>
                <c:pt idx="5">
                  <c:v>1.8140590000000001</c:v>
                </c:pt>
                <c:pt idx="6">
                  <c:v>1.7858620000000003</c:v>
                </c:pt>
                <c:pt idx="7">
                  <c:v>1.7624219999999999</c:v>
                </c:pt>
                <c:pt idx="8">
                  <c:v>1.7578720000000001</c:v>
                </c:pt>
                <c:pt idx="9">
                  <c:v>1.744556</c:v>
                </c:pt>
                <c:pt idx="10">
                  <c:v>1.7417100000000003</c:v>
                </c:pt>
                <c:pt idx="11">
                  <c:v>1.7627470000000001</c:v>
                </c:pt>
                <c:pt idx="12">
                  <c:v>1.7494259999999999</c:v>
                </c:pt>
                <c:pt idx="13">
                  <c:v>1.7847</c:v>
                </c:pt>
                <c:pt idx="14">
                  <c:v>1.7762</c:v>
                </c:pt>
                <c:pt idx="15">
                  <c:v>1.779034</c:v>
                </c:pt>
                <c:pt idx="16">
                  <c:v>1.8130809999999999</c:v>
                </c:pt>
                <c:pt idx="17">
                  <c:v>1.851472</c:v>
                </c:pt>
                <c:pt idx="18">
                  <c:v>1.7824</c:v>
                </c:pt>
                <c:pt idx="19">
                  <c:v>1.8348</c:v>
                </c:pt>
                <c:pt idx="20">
                  <c:v>1.8304</c:v>
                </c:pt>
                <c:pt idx="21">
                  <c:v>1.8163999999999998</c:v>
                </c:pt>
                <c:pt idx="22">
                  <c:v>1.8293999999999999</c:v>
                </c:pt>
                <c:pt idx="23">
                  <c:v>1.8318000000000001</c:v>
                </c:pt>
                <c:pt idx="24">
                  <c:v>1.8265</c:v>
                </c:pt>
                <c:pt idx="25">
                  <c:v>1.8331999999999999</c:v>
                </c:pt>
                <c:pt idx="26">
                  <c:v>1.8466</c:v>
                </c:pt>
                <c:pt idx="27">
                  <c:v>1.8494999999999999</c:v>
                </c:pt>
                <c:pt idx="28">
                  <c:v>1.8686</c:v>
                </c:pt>
                <c:pt idx="29">
                  <c:v>1.9063999999999999</c:v>
                </c:pt>
                <c:pt idx="30">
                  <c:v>1.8891</c:v>
                </c:pt>
                <c:pt idx="31">
                  <c:v>1.9</c:v>
                </c:pt>
                <c:pt idx="32">
                  <c:v>1.8786</c:v>
                </c:pt>
                <c:pt idx="33">
                  <c:v>1.8613999999999999</c:v>
                </c:pt>
                <c:pt idx="34">
                  <c:v>1.8578000000000001</c:v>
                </c:pt>
                <c:pt idx="35">
                  <c:v>1.8271999999999999</c:v>
                </c:pt>
                <c:pt idx="36">
                  <c:v>1.8261000000000001</c:v>
                </c:pt>
                <c:pt idx="37">
                  <c:v>1.8300999999999998</c:v>
                </c:pt>
                <c:pt idx="38">
                  <c:v>1.8433000000000002</c:v>
                </c:pt>
              </c:numCache>
            </c:numRef>
          </c:val>
          <c:smooth val="0"/>
        </c:ser>
        <c:dLbls>
          <c:showLegendKey val="0"/>
          <c:showVal val="0"/>
          <c:showCatName val="0"/>
          <c:showSerName val="0"/>
          <c:showPercent val="0"/>
          <c:showBubbleSize val="0"/>
        </c:dLbls>
        <c:marker val="1"/>
        <c:smooth val="0"/>
        <c:axId val="1653059168"/>
        <c:axId val="1653060800"/>
      </c:lineChart>
      <c:catAx>
        <c:axId val="1653059168"/>
        <c:scaling>
          <c:orientation val="minMax"/>
        </c:scaling>
        <c:delete val="0"/>
        <c:axPos val="b"/>
        <c:numFmt formatCode="General" sourceLinked="1"/>
        <c:majorTickMark val="out"/>
        <c:minorTickMark val="none"/>
        <c:tickLblPos val="nextTo"/>
        <c:txPr>
          <a:bodyPr rot="0" vert="horz"/>
          <a:lstStyle/>
          <a:p>
            <a:pPr>
              <a:defRPr sz="850" b="0" i="0" u="none" strike="noStrike" baseline="0">
                <a:solidFill>
                  <a:srgbClr val="000000"/>
                </a:solidFill>
                <a:latin typeface="Times New Roman"/>
                <a:ea typeface="Times New Roman"/>
                <a:cs typeface="Times New Roman"/>
              </a:defRPr>
            </a:pPr>
            <a:endParaRPr lang="en-US"/>
          </a:p>
        </c:txPr>
        <c:crossAx val="1653060800"/>
        <c:crosses val="autoZero"/>
        <c:auto val="1"/>
        <c:lblAlgn val="ctr"/>
        <c:lblOffset val="100"/>
        <c:tickLblSkip val="1"/>
        <c:tickMarkSkip val="1"/>
        <c:noMultiLvlLbl val="0"/>
      </c:catAx>
      <c:valAx>
        <c:axId val="1653060800"/>
        <c:scaling>
          <c:orientation val="minMax"/>
          <c:max val="3"/>
          <c:min val="0"/>
        </c:scaling>
        <c:delete val="0"/>
        <c:axPos val="l"/>
        <c:majorGridlines>
          <c:spPr>
            <a:ln w="3175">
              <a:solidFill>
                <a:srgbClr val="C0C0C0"/>
              </a:solidFill>
              <a:prstDash val="solid"/>
            </a:ln>
          </c:spPr>
        </c:majorGridlines>
        <c:title>
          <c:tx>
            <c:rich>
              <a:bodyPr rot="0" vert="horz"/>
              <a:lstStyle/>
              <a:p>
                <a:pPr>
                  <a:defRPr sz="850" b="0" i="0" u="none" strike="noStrike" baseline="0">
                    <a:solidFill>
                      <a:srgbClr val="000000"/>
                    </a:solidFill>
                    <a:latin typeface="Times New Roman"/>
                    <a:ea typeface="Times New Roman"/>
                    <a:cs typeface="Times New Roman"/>
                  </a:defRPr>
                </a:pPr>
                <a:r>
                  <a:rPr lang="en-US"/>
                  <a:t>EUR/100 kg</a:t>
                </a:r>
              </a:p>
            </c:rich>
          </c:tx>
          <c:layout>
            <c:manualLayout>
              <c:xMode val="edge"/>
              <c:yMode val="edge"/>
              <c:x val="3.2445009078655364E-2"/>
              <c:y val="0.11119321220000629"/>
            </c:manualLayout>
          </c:layout>
          <c:overlay val="0"/>
          <c:spPr>
            <a:noFill/>
            <a:ln w="25400">
              <a:noFill/>
            </a:ln>
          </c:spPr>
        </c:title>
        <c:numFmt formatCode="0.00" sourceLinked="0"/>
        <c:majorTickMark val="out"/>
        <c:minorTickMark val="none"/>
        <c:tickLblPos val="nextTo"/>
        <c:spPr>
          <a:ln w="3175">
            <a:solidFill>
              <a:srgbClr val="80808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en-US"/>
          </a:p>
        </c:txPr>
        <c:crossAx val="1653059168"/>
        <c:crosses val="autoZero"/>
        <c:crossBetween val="between"/>
      </c:valAx>
      <c:spPr>
        <a:ln>
          <a:solidFill>
            <a:srgbClr val="C0C0C0"/>
          </a:solidFill>
        </a:ln>
      </c:spPr>
    </c:plotArea>
    <c:legend>
      <c:legendPos val="r"/>
      <c:layout>
        <c:manualLayout>
          <c:xMode val="edge"/>
          <c:yMode val="edge"/>
          <c:x val="0.11645867599883349"/>
          <c:y val="0.92403353768719909"/>
          <c:w val="0.76354132400116648"/>
          <c:h val="7.4364587428077375E-2"/>
        </c:manualLayout>
      </c:layout>
      <c:overlay val="0"/>
    </c:legend>
    <c:plotVisOnly val="1"/>
    <c:dispBlanksAs val="gap"/>
    <c:showDLblsOverMax val="0"/>
  </c:chart>
  <c:spPr>
    <a:solidFill>
      <a:schemeClr val="bg1"/>
    </a:solidFill>
    <a:ln w="9525">
      <a:noFill/>
    </a:ln>
  </c:spPr>
  <c:txPr>
    <a:bodyPr/>
    <a:lstStyle/>
    <a:p>
      <a:pPr>
        <a:defRPr sz="850"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sz="1200" b="1">
                <a:solidFill>
                  <a:sysClr val="windowText" lastClr="000000"/>
                </a:solidFill>
                <a:latin typeface="Times New Roman" panose="02020603050405020304" pitchFamily="18" charset="0"/>
                <a:cs typeface="Times New Roman" panose="02020603050405020304" pitchFamily="18" charset="0"/>
              </a:rPr>
              <a:t>Atvėsintų</a:t>
            </a:r>
            <a:r>
              <a:rPr lang="lt-LT" sz="1200" b="1" baseline="0">
                <a:solidFill>
                  <a:sysClr val="windowText" lastClr="000000"/>
                </a:solidFill>
                <a:latin typeface="Times New Roman" panose="02020603050405020304" pitchFamily="18" charset="0"/>
                <a:cs typeface="Times New Roman" panose="02020603050405020304" pitchFamily="18" charset="0"/>
              </a:rPr>
              <a:t> viščiukų broilerių skerdenų pardavimas ir gamintojų kaina, </a:t>
            </a:r>
          </a:p>
          <a:p>
            <a:pPr>
              <a:defRPr sz="1200" b="1">
                <a:solidFill>
                  <a:sysClr val="windowText" lastClr="000000"/>
                </a:solidFill>
                <a:latin typeface="Times New Roman" panose="02020603050405020304" pitchFamily="18" charset="0"/>
                <a:cs typeface="Times New Roman" panose="02020603050405020304" pitchFamily="18" charset="0"/>
              </a:defRPr>
            </a:pPr>
            <a:r>
              <a:rPr lang="lt-LT" sz="1200" b="1" baseline="0">
                <a:solidFill>
                  <a:sysClr val="windowText" lastClr="000000"/>
                </a:solidFill>
                <a:latin typeface="Times New Roman" panose="02020603050405020304" pitchFamily="18" charset="0"/>
                <a:cs typeface="Times New Roman" panose="02020603050405020304" pitchFamily="18" charset="0"/>
              </a:rPr>
              <a:t>2016–2019 m. I-IV ketv.</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6561962012812915E-2"/>
          <c:y val="0.17711394883929665"/>
          <c:w val="0.81437191318827085"/>
          <c:h val="0.55228400854038318"/>
        </c:manualLayout>
      </c:layout>
      <c:barChart>
        <c:barDir val="col"/>
        <c:grouping val="clustered"/>
        <c:varyColors val="0"/>
        <c:ser>
          <c:idx val="1"/>
          <c:order val="0"/>
          <c:tx>
            <c:strRef>
              <c:f>Lapas1!$A$3:$D$3</c:f>
              <c:strCache>
                <c:ptCount val="4"/>
                <c:pt idx="0">
                  <c:v>Viščiukų broilerių pardavimas , t</c:v>
                </c:pt>
              </c:strCache>
            </c:strRef>
          </c:tx>
          <c:spPr>
            <a:solidFill>
              <a:schemeClr val="accent2"/>
            </a:solidFill>
            <a:ln>
              <a:noFill/>
            </a:ln>
            <a:effectLst/>
          </c:spPr>
          <c:invertIfNegative val="0"/>
          <c:cat>
            <c:multiLvlStrRef>
              <c:f>Lapas1!$E$1:$Q$2</c:f>
              <c:multiLvlStrCache>
                <c:ptCount val="13"/>
                <c:lvl>
                  <c:pt idx="0">
                    <c:v>I</c:v>
                  </c:pt>
                  <c:pt idx="1">
                    <c:v>II</c:v>
                  </c:pt>
                  <c:pt idx="2">
                    <c:v>III</c:v>
                  </c:pt>
                  <c:pt idx="3">
                    <c:v>IV</c:v>
                  </c:pt>
                  <c:pt idx="4">
                    <c:v>I</c:v>
                  </c:pt>
                  <c:pt idx="5">
                    <c:v>II</c:v>
                  </c:pt>
                  <c:pt idx="6">
                    <c:v>III</c:v>
                  </c:pt>
                  <c:pt idx="7">
                    <c:v>IV</c:v>
                  </c:pt>
                  <c:pt idx="8">
                    <c:v>I</c:v>
                  </c:pt>
                  <c:pt idx="9">
                    <c:v>II</c:v>
                  </c:pt>
                  <c:pt idx="10">
                    <c:v>III</c:v>
                  </c:pt>
                  <c:pt idx="11">
                    <c:v>IV</c:v>
                  </c:pt>
                  <c:pt idx="12">
                    <c:v>I</c:v>
                  </c:pt>
                </c:lvl>
                <c:lvl>
                  <c:pt idx="0">
                    <c:v>2016</c:v>
                  </c:pt>
                  <c:pt idx="4">
                    <c:v>2017</c:v>
                  </c:pt>
                  <c:pt idx="8">
                    <c:v>2018</c:v>
                  </c:pt>
                  <c:pt idx="12">
                    <c:v>2019</c:v>
                  </c:pt>
                </c:lvl>
              </c:multiLvlStrCache>
            </c:multiLvlStrRef>
          </c:cat>
          <c:val>
            <c:numRef>
              <c:f>Lapas1!$E$3:$Q$3</c:f>
              <c:numCache>
                <c:formatCode>General</c:formatCode>
                <c:ptCount val="13"/>
                <c:pt idx="0">
                  <c:v>1352.07</c:v>
                </c:pt>
                <c:pt idx="1">
                  <c:v>706.44</c:v>
                </c:pt>
                <c:pt idx="2">
                  <c:v>885.05</c:v>
                </c:pt>
                <c:pt idx="3">
                  <c:v>1132.82</c:v>
                </c:pt>
                <c:pt idx="4">
                  <c:v>976.49</c:v>
                </c:pt>
                <c:pt idx="5">
                  <c:v>1019.65</c:v>
                </c:pt>
                <c:pt idx="6">
                  <c:v>1274.74</c:v>
                </c:pt>
                <c:pt idx="7">
                  <c:v>1310.81</c:v>
                </c:pt>
                <c:pt idx="8">
                  <c:v>1069.51</c:v>
                </c:pt>
                <c:pt idx="9">
                  <c:v>1062.8499999999999</c:v>
                </c:pt>
                <c:pt idx="10">
                  <c:v>876.69</c:v>
                </c:pt>
                <c:pt idx="11">
                  <c:v>860.4</c:v>
                </c:pt>
                <c:pt idx="12">
                  <c:v>899.11</c:v>
                </c:pt>
              </c:numCache>
            </c:numRef>
          </c:val>
        </c:ser>
        <c:dLbls>
          <c:showLegendKey val="0"/>
          <c:showVal val="0"/>
          <c:showCatName val="0"/>
          <c:showSerName val="0"/>
          <c:showPercent val="0"/>
          <c:showBubbleSize val="0"/>
        </c:dLbls>
        <c:gapWidth val="150"/>
        <c:axId val="1653061344"/>
        <c:axId val="1653061888"/>
      </c:barChart>
      <c:lineChart>
        <c:grouping val="standard"/>
        <c:varyColors val="0"/>
        <c:ser>
          <c:idx val="2"/>
          <c:order val="1"/>
          <c:tx>
            <c:strRef>
              <c:f>Lapas1!$A$4:$D$4</c:f>
              <c:strCache>
                <c:ptCount val="4"/>
                <c:pt idx="0">
                  <c:v>Gamintojo kaina, Eur/100kg</c:v>
                </c:pt>
              </c:strCache>
            </c:strRef>
          </c:tx>
          <c:spPr>
            <a:ln w="28575" cap="rnd">
              <a:solidFill>
                <a:schemeClr val="accent3"/>
              </a:solidFill>
              <a:round/>
            </a:ln>
            <a:effectLst/>
          </c:spPr>
          <c:marker>
            <c:symbol val="none"/>
          </c:marker>
          <c:cat>
            <c:numRef>
              <c:f>Lapas1!$E$1:$Q$1</c:f>
              <c:numCache>
                <c:formatCode>General</c:formatCode>
                <c:ptCount val="13"/>
                <c:pt idx="0">
                  <c:v>2016</c:v>
                </c:pt>
                <c:pt idx="4">
                  <c:v>2017</c:v>
                </c:pt>
                <c:pt idx="8">
                  <c:v>2018</c:v>
                </c:pt>
                <c:pt idx="12">
                  <c:v>2019</c:v>
                </c:pt>
              </c:numCache>
            </c:numRef>
          </c:cat>
          <c:val>
            <c:numRef>
              <c:f>Lapas1!$E$4:$Q$4</c:f>
              <c:numCache>
                <c:formatCode>General</c:formatCode>
                <c:ptCount val="13"/>
                <c:pt idx="0">
                  <c:v>139.41999999999999</c:v>
                </c:pt>
                <c:pt idx="1">
                  <c:v>150.52000000000001</c:v>
                </c:pt>
                <c:pt idx="2">
                  <c:v>141.24</c:v>
                </c:pt>
                <c:pt idx="3">
                  <c:v>135.71</c:v>
                </c:pt>
                <c:pt idx="4">
                  <c:v>139.07</c:v>
                </c:pt>
                <c:pt idx="5">
                  <c:v>143.87</c:v>
                </c:pt>
                <c:pt idx="6">
                  <c:v>143.59</c:v>
                </c:pt>
                <c:pt idx="7">
                  <c:v>144.4</c:v>
                </c:pt>
                <c:pt idx="8">
                  <c:v>147.63999999999999</c:v>
                </c:pt>
                <c:pt idx="9">
                  <c:v>148.5</c:v>
                </c:pt>
                <c:pt idx="10">
                  <c:v>155.69</c:v>
                </c:pt>
                <c:pt idx="11">
                  <c:v>149.28</c:v>
                </c:pt>
                <c:pt idx="12">
                  <c:v>153.06</c:v>
                </c:pt>
              </c:numCache>
            </c:numRef>
          </c:val>
          <c:smooth val="0"/>
        </c:ser>
        <c:dLbls>
          <c:showLegendKey val="0"/>
          <c:showVal val="0"/>
          <c:showCatName val="0"/>
          <c:showSerName val="0"/>
          <c:showPercent val="0"/>
          <c:showBubbleSize val="0"/>
        </c:dLbls>
        <c:marker val="1"/>
        <c:smooth val="0"/>
        <c:axId val="1675975264"/>
        <c:axId val="1675967648"/>
      </c:lineChart>
      <c:catAx>
        <c:axId val="165306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61888"/>
        <c:crosses val="autoZero"/>
        <c:auto val="1"/>
        <c:lblAlgn val="ctr"/>
        <c:lblOffset val="100"/>
        <c:noMultiLvlLbl val="0"/>
      </c:catAx>
      <c:valAx>
        <c:axId val="165306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t</a:t>
                </a:r>
                <a:endParaRPr lang="en-US"/>
              </a:p>
            </c:rich>
          </c:tx>
          <c:layout>
            <c:manualLayout>
              <c:xMode val="edge"/>
              <c:yMode val="edge"/>
              <c:x val="4.8245614035087717E-2"/>
              <c:y val="5.065480804536738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061344"/>
        <c:crosses val="autoZero"/>
        <c:crossBetween val="between"/>
      </c:valAx>
      <c:valAx>
        <c:axId val="1675967648"/>
        <c:scaling>
          <c:orientation val="minMax"/>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EUR/100</a:t>
                </a:r>
                <a:r>
                  <a:rPr lang="lt-LT" baseline="0"/>
                  <a:t> Kg</a:t>
                </a:r>
                <a:endParaRPr lang="en-US"/>
              </a:p>
            </c:rich>
          </c:tx>
          <c:layout>
            <c:manualLayout>
              <c:xMode val="edge"/>
              <c:yMode val="edge"/>
              <c:x val="0.88092105263157894"/>
              <c:y val="9.02503637822474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975264"/>
        <c:crosses val="max"/>
        <c:crossBetween val="between"/>
      </c:valAx>
      <c:catAx>
        <c:axId val="1675975264"/>
        <c:scaling>
          <c:orientation val="minMax"/>
        </c:scaling>
        <c:delete val="1"/>
        <c:axPos val="b"/>
        <c:numFmt formatCode="General" sourceLinked="1"/>
        <c:majorTickMark val="out"/>
        <c:minorTickMark val="none"/>
        <c:tickLblPos val="nextTo"/>
        <c:crossAx val="1675967648"/>
        <c:crosses val="autoZero"/>
        <c:auto val="1"/>
        <c:lblAlgn val="ctr"/>
        <c:lblOffset val="100"/>
        <c:noMultiLvlLbl val="0"/>
      </c:catAx>
      <c:spPr>
        <a:noFill/>
        <a:ln>
          <a:solidFill>
            <a:schemeClr val="accent3"/>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0.0366</cdr:x>
      <cdr:y>0.84545</cdr:y>
    </cdr:from>
    <cdr:to>
      <cdr:x>0.14875</cdr:x>
      <cdr:y>0.97828</cdr:y>
    </cdr:to>
    <cdr:sp macro="" textlink="">
      <cdr:nvSpPr>
        <cdr:cNvPr id="2" name="TextBox 1"/>
        <cdr:cNvSpPr txBox="1"/>
      </cdr:nvSpPr>
      <cdr:spPr>
        <a:xfrm xmlns:a="http://schemas.openxmlformats.org/drawingml/2006/main">
          <a:off x="300855" y="3945927"/>
          <a:ext cx="921881" cy="6199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lt-LT" sz="8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0.01991</cdr:x>
      <cdr:y>0.87229</cdr:y>
    </cdr:from>
    <cdr:to>
      <cdr:x>0.12611</cdr:x>
      <cdr:y>1</cdr:y>
    </cdr:to>
    <cdr:sp macro="" textlink="">
      <cdr:nvSpPr>
        <cdr:cNvPr id="2" name="TextBox 1"/>
        <cdr:cNvSpPr txBox="1"/>
      </cdr:nvSpPr>
      <cdr:spPr>
        <a:xfrm xmlns:a="http://schemas.openxmlformats.org/drawingml/2006/main">
          <a:off x="171450" y="3448050"/>
          <a:ext cx="914400" cy="504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800">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0.0366</cdr:x>
      <cdr:y>0.84545</cdr:y>
    </cdr:from>
    <cdr:to>
      <cdr:x>0.14875</cdr:x>
      <cdr:y>0.97828</cdr:y>
    </cdr:to>
    <cdr:sp macro="" textlink="">
      <cdr:nvSpPr>
        <cdr:cNvPr id="3" name="TextBox 1"/>
        <cdr:cNvSpPr txBox="1"/>
      </cdr:nvSpPr>
      <cdr:spPr>
        <a:xfrm xmlns:a="http://schemas.openxmlformats.org/drawingml/2006/main" rot="489295">
          <a:off x="303295" y="4074773"/>
          <a:ext cx="929359" cy="6401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lt-LT" sz="8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0.00384</cdr:x>
      <cdr:y>0.0226</cdr:y>
    </cdr:from>
    <cdr:to>
      <cdr:x>0.05115</cdr:x>
      <cdr:y>0.10452</cdr:y>
    </cdr:to>
    <cdr:sp macro="" textlink="">
      <cdr:nvSpPr>
        <cdr:cNvPr id="2" name="TextBox 1"/>
        <cdr:cNvSpPr txBox="1"/>
      </cdr:nvSpPr>
      <cdr:spPr>
        <a:xfrm xmlns:a="http://schemas.openxmlformats.org/drawingml/2006/main">
          <a:off x="28576" y="76199"/>
          <a:ext cx="352425" cy="2762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t-LT" sz="1000"/>
            <a:t>mln. vnt.</a:t>
          </a:r>
          <a:endParaRPr 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0.22889</cdr:x>
      <cdr:y>0.14542</cdr:y>
    </cdr:from>
    <cdr:to>
      <cdr:x>0.70889</cdr:x>
      <cdr:y>0.33665</cdr:y>
    </cdr:to>
    <cdr:sp macro="" textlink="">
      <cdr:nvSpPr>
        <cdr:cNvPr id="2" name="TextBox 1"/>
        <cdr:cNvSpPr txBox="1"/>
      </cdr:nvSpPr>
      <cdr:spPr>
        <a:xfrm xmlns:a="http://schemas.openxmlformats.org/drawingml/2006/main">
          <a:off x="1962150" y="695326"/>
          <a:ext cx="41148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C749-E13A-4045-B138-6B0A9969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7291</Characters>
  <Application>Microsoft Office Word</Application>
  <DocSecurity>0</DocSecurity>
  <Lines>60</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Žukauskaitė</dc:creator>
  <cp:keywords/>
  <dc:description/>
  <cp:lastModifiedBy>Agata Kairytė</cp:lastModifiedBy>
  <cp:revision>2</cp:revision>
  <cp:lastPrinted>2019-02-11T10:27:00Z</cp:lastPrinted>
  <dcterms:created xsi:type="dcterms:W3CDTF">2019-05-15T11:28:00Z</dcterms:created>
  <dcterms:modified xsi:type="dcterms:W3CDTF">2019-05-15T11:28:00Z</dcterms:modified>
</cp:coreProperties>
</file>