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Preliminariais 2019 m. rugpjūčio 23 d. duomenimis, surinktais iš Lietuvos grūdinių augalų ir rapsų augintojų, auginančių 50 ir daugiau ha grūdinių augalų ir rapsų, buvo nukulta 80,3 proc. javų pasėlių ploto – 8,9 proc. mažesnis plotas negu 2018 m. analogišku laikotarpiu. Daugiausia, šių metų rugpjūčio 23 d. duomenimis, buvo nukulta kviečių – 95,6 proc. – tai buvo 0,9 proc. mažiau, palyginti su 2018 m. analogišku laikotarpiu. Rugių nukulta 95,3 proc. – panašus plotas kaip ir 2018 m. analogišku laikotarpiu, kvietrugių – 93,5 proc. (-1,2 proc.), žirnių – 92,9 proc. (-3,4 proc.), miežių – 91,4 proc. (-2,4 proc.), o avižų – 64,4 proc. (-27,2 proc.).</w:t>
        <w:br w:type="textWrapping"/>
        <w:t xml:space="preserve">Tačiau rapsų, rugpjūčio 23 d. duomenimis, buvo nukulta 93,0 proc. – 19,0 proc. didesnis plotas negu praėjusių metų analogišku laikotarpiu. Įtakos tam turėjo 2019 m. derliui užsėtas 54,5 proc. didesnis žieminių rapsų plotas.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