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062663" cy="8676565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062663" cy="867656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60" w:lineRule="auto"/>
        <w:ind w:left="720" w:hanging="360"/>
        <w:rPr>
          <w:b w:val="1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kainos registruojamos Vilniaus, Kauno, Klaipėdos, Panevėžio, Šiaulių, Alytaus ir Marijampolės miestų „Maxima“, „Iki“, „Rimi“, „Norfa“ ir „Lidl“ prekybos tinklų parduotuvėse</w:t>
        <w:br w:type="textWrapping"/>
        <w:t xml:space="preserve">** lyginant 2019 m. 36 savaitę su 35 savaite</w:t>
        <w:br w:type="textWrapping"/>
        <w:t xml:space="preserve">*** lyginant 2019 m. 36 savaitę su 32 savaite</w:t>
        <w:br w:type="textWrapping"/>
        <w:t xml:space="preserve">**** lyginant 2019 m. 36 savaitę su 2018 m. 36 savaite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■"/>
      <w:lvlJc w:val="left"/>
      <w:pPr>
        <w:ind w:left="720" w:hanging="360"/>
      </w:pPr>
      <w:rPr>
        <w:rFonts w:ascii="Arial" w:cs="Arial" w:eastAsia="Arial" w:hAnsi="Arial"/>
        <w:color w:val="666666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