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Tamsios duonos (be priedų) mažmeninė kaina 2018 m. IV ketv. – 2019 m. I ketv. sumažėjo 4,38 proc. (-0,088 EUR/kg, iki 1,93 EUR/kg), nors didmeninė tamsios duonos pardavimo kaina padidėjo 2,85 proc. (0,024 EUR/kg, iki 0,88 EUR/kg). Didmeninė ruginių miltų kaina sumažėjo 1,17 proc. (-2,99 EUR/t, iki 253,53 EUR/t), o pagrindinės tamsios duonos (be priedų) žaliavos – rugių – supirkimo kaina sumažėjo 2,29 proc. (-3,57 EUR/t, iki 152,20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Batono (be priedų) mažmeninė kaina 2018 m. IV ketv. – 2019 m. I ketv. sumažėjo 5,28 proc. (-0,094 EUR/kg, iki 1,68 EUR/kg), nors didmeninė batono pardavimo kaina analizuojamu laikotarpiu padidėjo 1,72 proc. (0,014 EUR/kg, iki 0,84 EUR/kg). Didmeninė kvietinių aukščiausios rūšies miltų kaina sumažėjo 1,15 proc. (-3,88 EUR/t, iki 334,08 EUR/t). Pagrindinės batono (be priedų) žaliavos – kviečių – supirkimo vidutinė kaina padidėjo 2,79 proc. (5,13 EUR/t, iki 188,85 EUR/t).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maistinių kviečių ir rugių supirkimo kainos priklauso nuo ES ir pasaulio kainų kitimo tendencijų. Paskutinės Tarptautinės grūdų tarybos (toliau – IGC) prognozės duomenimis, 2019–2020 m. pasaulyje prognozuojamas 2 178 mln. t grūdų derlius – daugiau kaip 2 proc. didesnis negu 2018–2019 m. Tikimasi, kad kviečių derlius pasaulyje 2019–2020 m. gali siekti 762 mln. t ir tai būtų beveik 4 proc. daugiau negu 2018–2019 m. ES grūdų prekybos asociacijos (toliau – „Coceral“) naujausios prognozės duomenimis, atsižvelgiant į numatomą kviečių pasėlių plotų augimą ir tikėtiną didesnį derlingumą, ES šalyse 2019 m. kviečių derlius gali sudaryti beveik 148 mln. t ir tai būtų beveik 9 proc. daugiau negu 2018 m. ir artima paskutinių penkerių metų vidurkiui.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Remiantis paskutinėmis teigiamomis grūdų derliaus prognozėmis, pasaulyje grūdų kainos artimiausiu metu neturėtų didėti ir tai turėtų lemti duonos produktų kainų stabilumą.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paaiškinimai ir papildoma informacija pateikiami priede </w:t>
      </w:r>
      <w:hyperlink r:id="rId6">
        <w:r w:rsidDel="00000000" w:rsidR="00000000" w:rsidRPr="00000000">
          <w:rPr>
            <w:b w:val="1"/>
            <w:color w:val="0c9668"/>
            <w:sz w:val="24"/>
            <w:szCs w:val="24"/>
            <w:highlight w:val="white"/>
            <w:rtl w:val="0"/>
          </w:rPr>
          <w:t xml:space="preserve">„Grūdų rinkos apžvalga“</w:t>
        </w:r>
      </w:hyperlink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wp-content/uploads/sites/4/2019/05/Grudu-rinkos-apzvalga_2018-IV-2019-I-ketv_AS-2-1_be-pirmo-lapo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