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įmonėse 2020 m. 34 savaitę (08 17–23)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rugiai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buvo superkami vidutiniškai po 101,57 EUR/t – 5,14 proc. mažesne kaina, palyginti su prieš savaitę (33 savaitę (08 10–16) buvusia kaina bei 8,26 proc. mažesne kaina negu prieš metus (2019 m. 34 savaitę (08 19–25). Analizuojamu laikotarpiu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kvietrugiai ir kviečiai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buvo superkami panašiomis kainomis kaip ir prieš savaitę (atitinkamai po 125,38 EUR/t ir 151,51 EUR/t), bet 4,72 proc. ir 4,39 proc. mažesnėmis kainomis negu prieš metus.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Pašariniai miežiai (II klasės)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buvo superkami vidutiniškai po 126,79 EUR/t – 3,04 proc. didesne kaina, palyginti su rugpjūčio viduryje buvusia kaina, bet 2,27 proc. pigiau negu prieš metus atitinkamu laikotarpiu.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Rapsų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vidutinė supirkimo kaina šių metų 34 savaitę sudarė 350,23 EUR/t – išliko panaši kaip prieš savaitę, bet buvo 3,31 proc. mažesnė negu prieš metus.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2020-09-01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9/01/lietuvoje-siu-metu-rugpjucio-menesio-antroje-puseje-grudu-supirkimo-kainos-buvo-mazesnes-negu-2019-m-tuo-paciu-metu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