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2020 m. liepos mėn. viduryje (29 savaitę (07 13–19)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pašarinių miežių (II klasės)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supirkimo kaina, palyginti su 28 sav. ( 07 06–12) sumažėjo 4,34 proc. (iki 135,88 EUR/t), o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kvietrugių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– 8,45 proc. (iki 142,51 EUR/t).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Kviečius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supirko vidutiniškai po 190,96 EUR/t – 4,72 proc. didesne kaina negu prieš savaitę.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Naujo derliaus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rapsų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vidutinė supirkimo kaina 2020 m. liepos mėnesio viduryje sudarė 362,64 EUR/t ir buvo 2,37 proc. didesnė, palyginti su 2019 m. 29 sav. (07 15–21).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7/27/lietuvoje-2020-m-liepos-men-viduryje-sumazejo-pasariniu-mieziu-ir-kvietrugiu-su-pirkimo-kaina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