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7B" w:rsidRPr="001A16D9" w:rsidRDefault="00273244" w:rsidP="00BC6E7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A16D9">
        <w:rPr>
          <w:rFonts w:ascii="Times New Roman" w:hAnsi="Times New Roman"/>
          <w:b/>
          <w:sz w:val="24"/>
          <w:szCs w:val="24"/>
        </w:rPr>
        <w:t xml:space="preserve">2019 m. I ketvirčio </w:t>
      </w:r>
      <w:r w:rsidR="00BE15A9" w:rsidRPr="001A16D9">
        <w:rPr>
          <w:rFonts w:ascii="Times New Roman" w:hAnsi="Times New Roman"/>
          <w:b/>
          <w:sz w:val="24"/>
          <w:szCs w:val="24"/>
        </w:rPr>
        <w:t>kiaušinių</w:t>
      </w:r>
      <w:r w:rsidR="00BC6E7B" w:rsidRPr="001A16D9">
        <w:rPr>
          <w:rFonts w:ascii="Times New Roman" w:hAnsi="Times New Roman"/>
          <w:b/>
          <w:sz w:val="24"/>
          <w:szCs w:val="24"/>
        </w:rPr>
        <w:t xml:space="preserve"> rinkos apžvalga</w:t>
      </w:r>
    </w:p>
    <w:p w:rsidR="00B02E11" w:rsidRPr="001A16D9" w:rsidRDefault="00B02E11" w:rsidP="00B02E11">
      <w:pPr>
        <w:pStyle w:val="Sraopastraipa"/>
        <w:tabs>
          <w:tab w:val="left" w:pos="1701"/>
        </w:tabs>
        <w:spacing w:line="360" w:lineRule="auto"/>
        <w:ind w:left="0" w:firstLine="1134"/>
        <w:jc w:val="both"/>
        <w:rPr>
          <w:color w:val="FF0000"/>
          <w:lang w:val="lt-LT"/>
        </w:rPr>
      </w:pPr>
    </w:p>
    <w:p w:rsidR="00BE15A9" w:rsidRPr="001A16D9" w:rsidRDefault="002F155C" w:rsidP="002F155C">
      <w:pPr>
        <w:spacing w:after="0" w:line="360" w:lineRule="auto"/>
        <w:ind w:right="-65" w:firstLine="1134"/>
        <w:jc w:val="both"/>
        <w:rPr>
          <w:rFonts w:ascii="Times New Roman" w:hAnsi="Times New Roman"/>
          <w:sz w:val="24"/>
          <w:szCs w:val="24"/>
        </w:rPr>
      </w:pPr>
      <w:r w:rsidRPr="001A16D9">
        <w:rPr>
          <w:rFonts w:ascii="Times New Roman" w:hAnsi="Times New Roman"/>
          <w:sz w:val="24"/>
          <w:szCs w:val="24"/>
        </w:rPr>
        <w:t xml:space="preserve">2019 m. I ketvirtį, palyginti su 2018 m. IV ketvirčiu, </w:t>
      </w:r>
      <w:r w:rsidR="00BE15A9" w:rsidRPr="001A16D9">
        <w:rPr>
          <w:rStyle w:val="Grietas"/>
          <w:rFonts w:ascii="Times New Roman" w:hAnsi="Times New Roman"/>
          <w:b w:val="0"/>
          <w:color w:val="000000" w:themeColor="text1"/>
          <w:sz w:val="24"/>
          <w:szCs w:val="24"/>
        </w:rPr>
        <w:t xml:space="preserve">mažmeninės prekybos dalis </w:t>
      </w:r>
      <w:r w:rsidR="00BE15A9" w:rsidRPr="001A16D9">
        <w:rPr>
          <w:rStyle w:val="Grietas"/>
          <w:rFonts w:ascii="Times New Roman" w:hAnsi="Times New Roman"/>
          <w:color w:val="000000" w:themeColor="text1"/>
          <w:sz w:val="24"/>
          <w:szCs w:val="24"/>
        </w:rPr>
        <w:t>L kategorijos</w:t>
      </w:r>
      <w:r w:rsidR="00BE15A9" w:rsidRPr="001A16D9">
        <w:rPr>
          <w:rStyle w:val="Grietas"/>
          <w:rFonts w:ascii="Times New Roman" w:hAnsi="Times New Roman"/>
          <w:b w:val="0"/>
          <w:color w:val="000000" w:themeColor="text1"/>
          <w:sz w:val="24"/>
          <w:szCs w:val="24"/>
        </w:rPr>
        <w:t xml:space="preserve"> kiaušinių kainų grandinėje padidėjo 5,59 proc. (nuo 35,8 iki 37,8 proc.), o gamintojų</w:t>
      </w:r>
      <w:r w:rsidR="00BE15A9" w:rsidRPr="001A16D9">
        <w:rPr>
          <w:rStyle w:val="Grietas"/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E15A9" w:rsidRPr="001A16D9">
        <w:rPr>
          <w:rFonts w:ascii="Times New Roman" w:hAnsi="Times New Roman"/>
          <w:sz w:val="24"/>
          <w:szCs w:val="24"/>
        </w:rPr>
        <w:t xml:space="preserve">–  sumažėjo 4,27 proc. (nuo 46,8 iki 44,8 proc.). PVM dalis sudarė 17,4 proc. visos mažmeninės kainos. </w:t>
      </w:r>
    </w:p>
    <w:p w:rsidR="004530B6" w:rsidRPr="001A16D9" w:rsidRDefault="004530B6" w:rsidP="002F155C">
      <w:pPr>
        <w:spacing w:after="0" w:line="360" w:lineRule="auto"/>
        <w:ind w:right="-65" w:firstLine="1134"/>
        <w:jc w:val="both"/>
        <w:rPr>
          <w:rFonts w:ascii="Times New Roman" w:hAnsi="Times New Roman"/>
          <w:sz w:val="24"/>
          <w:szCs w:val="24"/>
        </w:rPr>
      </w:pPr>
    </w:p>
    <w:p w:rsidR="00BE15A9" w:rsidRPr="001A16D9" w:rsidRDefault="00BE15A9" w:rsidP="00BE15A9">
      <w:pPr>
        <w:spacing w:after="0" w:line="360" w:lineRule="auto"/>
        <w:ind w:right="-65"/>
        <w:jc w:val="both"/>
        <w:rPr>
          <w:rFonts w:ascii="Times New Roman" w:hAnsi="Times New Roman"/>
          <w:sz w:val="24"/>
          <w:szCs w:val="24"/>
        </w:rPr>
      </w:pPr>
      <w:r w:rsidRPr="001A16D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06CCCCF8" wp14:editId="79DFF765">
            <wp:extent cx="6777355" cy="4257675"/>
            <wp:effectExtent l="0" t="0" r="4445" b="9525"/>
            <wp:docPr id="3" name="Diagra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0F60" w:rsidRPr="001A16D9" w:rsidRDefault="00D30F60" w:rsidP="00BE15A9">
      <w:pPr>
        <w:spacing w:after="0" w:line="360" w:lineRule="auto"/>
        <w:rPr>
          <w:rFonts w:ascii="Times New Roman" w:hAnsi="Times New Roman"/>
          <w:noProof/>
          <w:sz w:val="24"/>
          <w:szCs w:val="24"/>
          <w:lang w:eastAsia="lt-LT"/>
        </w:rPr>
      </w:pPr>
    </w:p>
    <w:p w:rsidR="002C1DFA" w:rsidRPr="00883ADD" w:rsidRDefault="009F6612" w:rsidP="002C1DFA">
      <w:pPr>
        <w:spacing w:after="0"/>
        <w:rPr>
          <w:rFonts w:ascii="Times New Roman" w:eastAsiaTheme="minorHAnsi" w:hAnsi="Times New Roman"/>
          <w:sz w:val="16"/>
          <w:szCs w:val="16"/>
        </w:rPr>
      </w:pPr>
      <w:r w:rsidRPr="00883AD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lt-LT"/>
        </w:rPr>
        <w:t xml:space="preserve">Pastaba: </w:t>
      </w:r>
      <w:r w:rsidR="002C1DFA" w:rsidRPr="00883ADD">
        <w:rPr>
          <w:rFonts w:ascii="Times New Roman" w:eastAsiaTheme="minorHAnsi" w:hAnsi="Times New Roman"/>
          <w:sz w:val="16"/>
          <w:szCs w:val="16"/>
        </w:rPr>
        <w:t>apskaičiuojant vidutines mažmenines produktų kainas nenaudojamos trumpalaikių nuolaidų (akcijų) kainų vertės, o nuo 2018 m. neįtraukiamos prekybos tinklų privačių prekių ženklų produktų kainos.</w:t>
      </w:r>
    </w:p>
    <w:p w:rsidR="00D30F60" w:rsidRPr="00883ADD" w:rsidRDefault="00D30F60" w:rsidP="002C1DF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375CA" w:rsidRPr="0031741A" w:rsidRDefault="003604BB" w:rsidP="0031741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Šaltinis</w:t>
      </w:r>
      <w:r w:rsidR="00E375CA" w:rsidRPr="0031741A">
        <w:rPr>
          <w:rFonts w:ascii="Times New Roman" w:hAnsi="Times New Roman"/>
          <w:sz w:val="20"/>
          <w:szCs w:val="20"/>
        </w:rPr>
        <w:t xml:space="preserve"> ŽŪIKVC (LŽŪMPRIS)</w:t>
      </w:r>
    </w:p>
    <w:p w:rsidR="00FF668B" w:rsidRPr="001A16D9" w:rsidRDefault="00FF668B" w:rsidP="00BC6E7B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F668B" w:rsidRPr="001A16D9" w:rsidRDefault="00FF668B" w:rsidP="00FF668B">
      <w:pPr>
        <w:spacing w:after="0" w:line="360" w:lineRule="auto"/>
        <w:ind w:right="-62" w:firstLine="1134"/>
        <w:jc w:val="both"/>
        <w:rPr>
          <w:rFonts w:ascii="Times New Roman" w:hAnsi="Times New Roman"/>
          <w:sz w:val="24"/>
          <w:szCs w:val="24"/>
        </w:rPr>
      </w:pPr>
      <w:r w:rsidRPr="001A16D9">
        <w:rPr>
          <w:rFonts w:ascii="Times New Roman" w:hAnsi="Times New Roman"/>
          <w:sz w:val="24"/>
          <w:szCs w:val="24"/>
        </w:rPr>
        <w:t xml:space="preserve">Analizuojamu laikotarpiu </w:t>
      </w:r>
      <w:r w:rsidR="002C1DFA" w:rsidRPr="001A16D9">
        <w:rPr>
          <w:rFonts w:ascii="Times New Roman" w:hAnsi="Times New Roman"/>
          <w:sz w:val="24"/>
          <w:szCs w:val="24"/>
        </w:rPr>
        <w:t>L kategorijos kiaušinių kainų</w:t>
      </w:r>
      <w:r w:rsidRPr="001A16D9">
        <w:rPr>
          <w:rFonts w:ascii="Times New Roman" w:hAnsi="Times New Roman"/>
          <w:sz w:val="24"/>
          <w:szCs w:val="24"/>
        </w:rPr>
        <w:t xml:space="preserve"> grandinėje mažmeninės prekybos dalis, palyginti su 2018 m. IV ketvirčiu, </w:t>
      </w:r>
      <w:r w:rsidR="00DF0A61" w:rsidRPr="001A16D9">
        <w:rPr>
          <w:rFonts w:ascii="Times New Roman" w:hAnsi="Times New Roman"/>
          <w:sz w:val="24"/>
          <w:szCs w:val="24"/>
        </w:rPr>
        <w:t>sumaž</w:t>
      </w:r>
      <w:r w:rsidRPr="001A16D9">
        <w:rPr>
          <w:rFonts w:ascii="Times New Roman" w:hAnsi="Times New Roman"/>
          <w:sz w:val="24"/>
          <w:szCs w:val="24"/>
        </w:rPr>
        <w:t xml:space="preserve">ėjo </w:t>
      </w:r>
      <w:r w:rsidR="002C1DFA" w:rsidRPr="001A16D9">
        <w:rPr>
          <w:rFonts w:ascii="Times New Roman" w:hAnsi="Times New Roman"/>
          <w:sz w:val="24"/>
          <w:szCs w:val="24"/>
        </w:rPr>
        <w:t>2,0</w:t>
      </w:r>
      <w:r w:rsidR="00897C32">
        <w:rPr>
          <w:rFonts w:ascii="Times New Roman" w:hAnsi="Times New Roman"/>
          <w:sz w:val="24"/>
          <w:szCs w:val="24"/>
        </w:rPr>
        <w:t xml:space="preserve"> proc. punktais</w:t>
      </w:r>
      <w:r w:rsidRPr="001A16D9">
        <w:rPr>
          <w:rFonts w:ascii="Times New Roman" w:hAnsi="Times New Roman"/>
          <w:sz w:val="24"/>
          <w:szCs w:val="24"/>
        </w:rPr>
        <w:t xml:space="preserve"> (iki </w:t>
      </w:r>
      <w:r w:rsidR="002C1DFA" w:rsidRPr="001A16D9">
        <w:rPr>
          <w:rFonts w:ascii="Times New Roman" w:hAnsi="Times New Roman"/>
          <w:sz w:val="24"/>
          <w:szCs w:val="24"/>
        </w:rPr>
        <w:t>37,8</w:t>
      </w:r>
      <w:r w:rsidRPr="001A16D9">
        <w:rPr>
          <w:rFonts w:ascii="Times New Roman" w:hAnsi="Times New Roman"/>
          <w:sz w:val="24"/>
          <w:szCs w:val="24"/>
        </w:rPr>
        <w:t xml:space="preserve"> proc.), </w:t>
      </w:r>
      <w:r w:rsidR="00DF0A61" w:rsidRPr="001A16D9">
        <w:rPr>
          <w:rFonts w:ascii="Times New Roman" w:hAnsi="Times New Roman"/>
          <w:sz w:val="24"/>
          <w:szCs w:val="24"/>
        </w:rPr>
        <w:t>gamintoj</w:t>
      </w:r>
      <w:r w:rsidRPr="001A16D9">
        <w:rPr>
          <w:rFonts w:ascii="Times New Roman" w:hAnsi="Times New Roman"/>
          <w:sz w:val="24"/>
          <w:szCs w:val="24"/>
        </w:rPr>
        <w:t xml:space="preserve">ų </w:t>
      </w:r>
      <w:r w:rsidR="008F088E">
        <w:rPr>
          <w:rFonts w:ascii="Times New Roman" w:hAnsi="Times New Roman"/>
          <w:sz w:val="24"/>
          <w:szCs w:val="24"/>
        </w:rPr>
        <w:t>dalis</w:t>
      </w:r>
      <w:r w:rsidRPr="001A16D9">
        <w:rPr>
          <w:rFonts w:ascii="Times New Roman" w:hAnsi="Times New Roman"/>
          <w:sz w:val="24"/>
          <w:szCs w:val="24"/>
        </w:rPr>
        <w:t xml:space="preserve"> </w:t>
      </w:r>
      <w:r w:rsidR="00DF0A61" w:rsidRPr="001A16D9">
        <w:rPr>
          <w:rFonts w:ascii="Times New Roman" w:hAnsi="Times New Roman"/>
          <w:sz w:val="24"/>
          <w:szCs w:val="24"/>
        </w:rPr>
        <w:t xml:space="preserve">padidėjo, atitinkamai, </w:t>
      </w:r>
      <w:r w:rsidR="002C1DFA" w:rsidRPr="001A16D9">
        <w:rPr>
          <w:rFonts w:ascii="Times New Roman" w:hAnsi="Times New Roman"/>
          <w:sz w:val="24"/>
          <w:szCs w:val="24"/>
        </w:rPr>
        <w:t>2,0</w:t>
      </w:r>
      <w:r w:rsidR="000D531B" w:rsidRPr="001A16D9">
        <w:rPr>
          <w:rFonts w:ascii="Times New Roman" w:hAnsi="Times New Roman"/>
          <w:sz w:val="24"/>
          <w:szCs w:val="24"/>
        </w:rPr>
        <w:t xml:space="preserve"> proc. punktais</w:t>
      </w:r>
      <w:r w:rsidRPr="001A16D9">
        <w:rPr>
          <w:rFonts w:ascii="Times New Roman" w:hAnsi="Times New Roman"/>
          <w:sz w:val="24"/>
          <w:szCs w:val="24"/>
        </w:rPr>
        <w:t xml:space="preserve"> (iki </w:t>
      </w:r>
      <w:r w:rsidR="002C1DFA" w:rsidRPr="001A16D9">
        <w:rPr>
          <w:rFonts w:ascii="Times New Roman" w:hAnsi="Times New Roman"/>
          <w:sz w:val="24"/>
          <w:szCs w:val="24"/>
        </w:rPr>
        <w:t>44,8</w:t>
      </w:r>
      <w:r w:rsidR="00DF0A61" w:rsidRPr="001A16D9">
        <w:rPr>
          <w:rFonts w:ascii="Times New Roman" w:hAnsi="Times New Roman"/>
          <w:sz w:val="24"/>
          <w:szCs w:val="24"/>
        </w:rPr>
        <w:t xml:space="preserve"> proc.), </w:t>
      </w:r>
      <w:r w:rsidRPr="001A16D9">
        <w:rPr>
          <w:rFonts w:ascii="Times New Roman" w:hAnsi="Times New Roman"/>
          <w:sz w:val="24"/>
          <w:szCs w:val="24"/>
        </w:rPr>
        <w:t>PVM dalis sudarė 17,4 proc. visos mažmeninės kainos</w:t>
      </w:r>
      <w:r w:rsidR="008C0A46" w:rsidRPr="001A16D9">
        <w:rPr>
          <w:rFonts w:ascii="Times New Roman" w:hAnsi="Times New Roman"/>
          <w:sz w:val="24"/>
          <w:szCs w:val="24"/>
        </w:rPr>
        <w:t>.</w:t>
      </w:r>
    </w:p>
    <w:p w:rsidR="00CF5EA3" w:rsidRPr="001A16D9" w:rsidRDefault="00CF5EA3" w:rsidP="00FF668B">
      <w:pPr>
        <w:spacing w:after="0" w:line="360" w:lineRule="auto"/>
        <w:ind w:right="-62" w:firstLine="1134"/>
        <w:jc w:val="both"/>
        <w:rPr>
          <w:rFonts w:ascii="Times New Roman" w:hAnsi="Times New Roman"/>
          <w:sz w:val="24"/>
          <w:szCs w:val="24"/>
        </w:rPr>
      </w:pPr>
      <w:r w:rsidRPr="001A16D9">
        <w:rPr>
          <w:rFonts w:ascii="Times New Roman" w:hAnsi="Times New Roman"/>
          <w:sz w:val="24"/>
          <w:szCs w:val="24"/>
        </w:rPr>
        <w:t xml:space="preserve">2019 m. I ketvirtį, palyginti su 2018 m. IV ketvirčiu, </w:t>
      </w:r>
      <w:r w:rsidR="002C1DFA" w:rsidRPr="001A16D9">
        <w:rPr>
          <w:rFonts w:ascii="Times New Roman" w:hAnsi="Times New Roman"/>
          <w:sz w:val="24"/>
          <w:szCs w:val="24"/>
        </w:rPr>
        <w:t>vidutinė</w:t>
      </w:r>
      <w:r w:rsidRPr="001A16D9">
        <w:rPr>
          <w:rFonts w:ascii="Times New Roman" w:hAnsi="Times New Roman"/>
          <w:sz w:val="24"/>
          <w:szCs w:val="24"/>
        </w:rPr>
        <w:t xml:space="preserve"> mažmeninė </w:t>
      </w:r>
      <w:r w:rsidR="002C1DFA" w:rsidRPr="001A16D9">
        <w:rPr>
          <w:rFonts w:ascii="Times New Roman" w:hAnsi="Times New Roman"/>
          <w:sz w:val="24"/>
          <w:szCs w:val="24"/>
        </w:rPr>
        <w:t>L kat. kiaušinių</w:t>
      </w:r>
      <w:r w:rsidR="002C1DFA" w:rsidRPr="001A16D9">
        <w:rPr>
          <w:rFonts w:ascii="Times New Roman" w:hAnsi="Times New Roman"/>
          <w:b/>
          <w:sz w:val="24"/>
          <w:szCs w:val="24"/>
        </w:rPr>
        <w:t xml:space="preserve"> </w:t>
      </w:r>
      <w:r w:rsidRPr="001A16D9">
        <w:rPr>
          <w:rFonts w:ascii="Times New Roman" w:hAnsi="Times New Roman"/>
          <w:sz w:val="24"/>
          <w:szCs w:val="24"/>
        </w:rPr>
        <w:t xml:space="preserve">kaina (neįskaitant akcinių) Lietuvos didžiųjų prekybos tinklų parduotuvėse </w:t>
      </w:r>
      <w:r w:rsidR="004530B6" w:rsidRPr="001A16D9">
        <w:rPr>
          <w:rFonts w:ascii="Times New Roman" w:hAnsi="Times New Roman"/>
          <w:sz w:val="24"/>
          <w:szCs w:val="24"/>
        </w:rPr>
        <w:t>padidėjo 4,0 proc. (0,06 EUR/10 vnt.</w:t>
      </w:r>
      <w:r w:rsidRPr="001A16D9">
        <w:rPr>
          <w:rFonts w:ascii="Times New Roman" w:hAnsi="Times New Roman"/>
          <w:sz w:val="24"/>
          <w:szCs w:val="24"/>
        </w:rPr>
        <w:t>), tačiau</w:t>
      </w:r>
      <w:r w:rsidR="008F088E">
        <w:rPr>
          <w:rFonts w:ascii="Times New Roman" w:hAnsi="Times New Roman"/>
          <w:sz w:val="24"/>
          <w:szCs w:val="24"/>
        </w:rPr>
        <w:t>,</w:t>
      </w:r>
      <w:r w:rsidRPr="001A16D9">
        <w:rPr>
          <w:rFonts w:ascii="Times New Roman" w:hAnsi="Times New Roman"/>
          <w:sz w:val="24"/>
          <w:szCs w:val="24"/>
        </w:rPr>
        <w:t xml:space="preserve"> palyginti su praėjusių metų tuo pačiu laikotarpiu</w:t>
      </w:r>
      <w:r w:rsidR="008F088E">
        <w:rPr>
          <w:rFonts w:ascii="Times New Roman" w:hAnsi="Times New Roman"/>
          <w:sz w:val="24"/>
          <w:szCs w:val="24"/>
        </w:rPr>
        <w:t>,</w:t>
      </w:r>
      <w:r w:rsidRPr="001A16D9">
        <w:rPr>
          <w:rFonts w:ascii="Times New Roman" w:hAnsi="Times New Roman"/>
          <w:sz w:val="24"/>
          <w:szCs w:val="24"/>
        </w:rPr>
        <w:t xml:space="preserve"> buvo </w:t>
      </w:r>
      <w:r w:rsidR="004530B6" w:rsidRPr="001A16D9">
        <w:rPr>
          <w:rFonts w:ascii="Times New Roman" w:hAnsi="Times New Roman"/>
          <w:sz w:val="24"/>
          <w:szCs w:val="24"/>
        </w:rPr>
        <w:t>6,02</w:t>
      </w:r>
      <w:r w:rsidRPr="001A16D9">
        <w:rPr>
          <w:rFonts w:ascii="Times New Roman" w:hAnsi="Times New Roman"/>
          <w:sz w:val="24"/>
          <w:szCs w:val="24"/>
        </w:rPr>
        <w:t xml:space="preserve"> proc. mažesnė.</w:t>
      </w:r>
    </w:p>
    <w:p w:rsidR="00D30F60" w:rsidRPr="001A16D9" w:rsidRDefault="004530B6" w:rsidP="004530B6">
      <w:pPr>
        <w:spacing w:after="0" w:line="360" w:lineRule="auto"/>
        <w:ind w:right="-62"/>
        <w:jc w:val="both"/>
        <w:rPr>
          <w:rFonts w:ascii="Times New Roman" w:hAnsi="Times New Roman"/>
          <w:sz w:val="24"/>
          <w:szCs w:val="24"/>
        </w:rPr>
      </w:pPr>
      <w:r w:rsidRPr="001A16D9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312BF61" wp14:editId="3EB0F5E6">
            <wp:extent cx="6840220" cy="4079875"/>
            <wp:effectExtent l="0" t="0" r="17780" b="15875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30B6" w:rsidRPr="0031741A" w:rsidRDefault="004530B6" w:rsidP="0031741A">
      <w:pPr>
        <w:spacing w:after="0"/>
        <w:rPr>
          <w:rFonts w:ascii="Times New Roman" w:eastAsiaTheme="minorHAnsi" w:hAnsi="Times New Roman"/>
          <w:sz w:val="16"/>
          <w:szCs w:val="16"/>
        </w:rPr>
      </w:pPr>
      <w:r w:rsidRPr="00883AD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lt-LT"/>
        </w:rPr>
        <w:t xml:space="preserve">Pastaba: </w:t>
      </w:r>
      <w:r w:rsidRPr="00883ADD">
        <w:rPr>
          <w:rFonts w:ascii="Times New Roman" w:eastAsiaTheme="minorHAnsi" w:hAnsi="Times New Roman"/>
          <w:sz w:val="16"/>
          <w:szCs w:val="16"/>
        </w:rPr>
        <w:t>apskaičiuojant vidutines mažmenines produktų kainas nenaudojamos trumpalaikių nuolaidų (akcijų) kainų vertės, o nuo 2018 m. neįtraukiamos prekybos tinklų privačių prekių ženklų produktų kainos.</w:t>
      </w:r>
    </w:p>
    <w:p w:rsidR="008C0A46" w:rsidRDefault="003604BB" w:rsidP="0031741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Šaltinis</w:t>
      </w:r>
      <w:r w:rsidR="004530B6" w:rsidRPr="0031741A">
        <w:rPr>
          <w:rFonts w:ascii="Times New Roman" w:hAnsi="Times New Roman"/>
          <w:sz w:val="20"/>
          <w:szCs w:val="20"/>
        </w:rPr>
        <w:t xml:space="preserve"> ŽŪIKVC (LŽŪMPRIS)</w:t>
      </w:r>
    </w:p>
    <w:p w:rsidR="0031741A" w:rsidRPr="0031741A" w:rsidRDefault="0031741A" w:rsidP="0031741A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556D65" w:rsidRPr="001A16D9" w:rsidRDefault="002C1DFA" w:rsidP="00B01C19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1A16D9">
        <w:rPr>
          <w:rFonts w:ascii="Times New Roman" w:eastAsiaTheme="minorHAnsi" w:hAnsi="Times New Roman"/>
          <w:sz w:val="24"/>
          <w:szCs w:val="24"/>
        </w:rPr>
        <w:t xml:space="preserve">2019 m. </w:t>
      </w:r>
      <w:r w:rsidR="000D531B" w:rsidRPr="001A16D9">
        <w:rPr>
          <w:rFonts w:ascii="Times New Roman" w:eastAsiaTheme="minorHAnsi" w:hAnsi="Times New Roman"/>
          <w:sz w:val="24"/>
          <w:szCs w:val="24"/>
        </w:rPr>
        <w:t>I ketvirtį,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 palyginti su 2018 m.</w:t>
      </w:r>
      <w:r w:rsidR="000D531B" w:rsidRPr="001A16D9">
        <w:rPr>
          <w:rFonts w:ascii="Times New Roman" w:eastAsiaTheme="minorHAnsi" w:hAnsi="Times New Roman"/>
          <w:sz w:val="24"/>
          <w:szCs w:val="24"/>
        </w:rPr>
        <w:t xml:space="preserve"> IV ketvirčiu</w:t>
      </w:r>
      <w:r w:rsidRPr="001A16D9">
        <w:rPr>
          <w:rFonts w:ascii="Times New Roman" w:eastAsiaTheme="minorHAnsi" w:hAnsi="Times New Roman"/>
          <w:sz w:val="24"/>
          <w:szCs w:val="24"/>
        </w:rPr>
        <w:t>, Lietuvos įmonėse gautų šviežių supakuotų</w:t>
      </w:r>
      <w:r w:rsidR="000D531B" w:rsidRPr="001A16D9">
        <w:rPr>
          <w:rFonts w:ascii="Times New Roman" w:eastAsiaTheme="minorHAnsi" w:hAnsi="Times New Roman"/>
          <w:sz w:val="24"/>
          <w:szCs w:val="24"/>
        </w:rPr>
        <w:t xml:space="preserve"> L kategorijos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 kiaušinių vidutinė </w:t>
      </w:r>
      <w:r w:rsidR="0086631A" w:rsidRPr="001A16D9">
        <w:rPr>
          <w:rFonts w:ascii="Times New Roman" w:eastAsiaTheme="minorHAnsi" w:hAnsi="Times New Roman"/>
          <w:sz w:val="24"/>
          <w:szCs w:val="24"/>
        </w:rPr>
        <w:t xml:space="preserve">didmeninė 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kaina </w:t>
      </w:r>
      <w:r w:rsidR="0086631A" w:rsidRPr="001A16D9">
        <w:rPr>
          <w:rFonts w:ascii="Times New Roman" w:eastAsiaTheme="minorHAnsi" w:hAnsi="Times New Roman"/>
          <w:sz w:val="24"/>
          <w:szCs w:val="24"/>
        </w:rPr>
        <w:t xml:space="preserve">sumažėjo 0,43 proc. ir buvo 5,8 proc. mažesnė nei tuo pačiu praėjusių metų laikotarpiu. </w:t>
      </w:r>
    </w:p>
    <w:p w:rsidR="00556D65" w:rsidRPr="001A16D9" w:rsidRDefault="00556D65" w:rsidP="00B01C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16D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2A039B1" wp14:editId="6959FC61">
            <wp:extent cx="6554470" cy="3619500"/>
            <wp:effectExtent l="0" t="0" r="17780" b="0"/>
            <wp:docPr id="9" name="Diagrama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782A" w:rsidRPr="00883ADD" w:rsidRDefault="0032782A" w:rsidP="0032782A">
      <w:pPr>
        <w:spacing w:after="0"/>
        <w:rPr>
          <w:rFonts w:ascii="Times New Roman" w:eastAsiaTheme="minorHAnsi" w:hAnsi="Times New Roman"/>
          <w:sz w:val="16"/>
          <w:szCs w:val="16"/>
        </w:rPr>
      </w:pPr>
      <w:r w:rsidRPr="00883AD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lt-LT"/>
        </w:rPr>
        <w:t xml:space="preserve">Pastaba: </w:t>
      </w:r>
      <w:r w:rsidRPr="00883ADD">
        <w:rPr>
          <w:rFonts w:ascii="Times New Roman" w:eastAsiaTheme="minorHAnsi" w:hAnsi="Times New Roman"/>
          <w:sz w:val="16"/>
          <w:szCs w:val="16"/>
        </w:rPr>
        <w:t>apskaičiuojant vidutines mažmenines produktų kainas nenaudojamos trumpalaikių nuolaidų (akcijų) kainų vertės, o nuo 2018 m. neįtraukiamos prekybos tinklų privačių prekių ženklų produktų kainos.</w:t>
      </w:r>
    </w:p>
    <w:p w:rsidR="0032782A" w:rsidRPr="001A16D9" w:rsidRDefault="0032782A" w:rsidP="003278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41A" w:rsidRDefault="003604BB" w:rsidP="0031741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Šaltinis ŽŪIKVC</w:t>
      </w:r>
      <w:r w:rsidR="0031741A" w:rsidRPr="0031741A">
        <w:rPr>
          <w:rFonts w:ascii="Times New Roman" w:hAnsi="Times New Roman"/>
          <w:sz w:val="20"/>
          <w:szCs w:val="20"/>
        </w:rPr>
        <w:t>(LŽŪMPRIS)</w:t>
      </w:r>
    </w:p>
    <w:p w:rsidR="00556D65" w:rsidRPr="001A16D9" w:rsidRDefault="00556D65" w:rsidP="00B01C19">
      <w:pPr>
        <w:spacing w:after="0" w:line="360" w:lineRule="auto"/>
        <w:ind w:right="-65"/>
        <w:jc w:val="both"/>
        <w:rPr>
          <w:rFonts w:ascii="Times New Roman" w:hAnsi="Times New Roman"/>
          <w:sz w:val="24"/>
          <w:szCs w:val="24"/>
        </w:rPr>
      </w:pPr>
    </w:p>
    <w:p w:rsidR="00484133" w:rsidRPr="001A16D9" w:rsidRDefault="00B01C19" w:rsidP="008C26CB">
      <w:pPr>
        <w:spacing w:after="0" w:line="360" w:lineRule="auto"/>
        <w:ind w:right="-65" w:firstLine="1134"/>
        <w:jc w:val="both"/>
        <w:rPr>
          <w:rFonts w:ascii="Times New Roman" w:hAnsi="Times New Roman"/>
          <w:sz w:val="24"/>
          <w:szCs w:val="24"/>
        </w:rPr>
      </w:pPr>
      <w:r w:rsidRPr="001A16D9">
        <w:rPr>
          <w:rFonts w:ascii="Times New Roman" w:hAnsi="Times New Roman"/>
          <w:sz w:val="24"/>
          <w:szCs w:val="24"/>
        </w:rPr>
        <w:t xml:space="preserve">2019 m. I ketvirtį, palyginti su 2018 m. IV ketvirčiu, </w:t>
      </w:r>
      <w:r w:rsidRPr="001A16D9">
        <w:rPr>
          <w:rStyle w:val="Grietas"/>
          <w:rFonts w:ascii="Times New Roman" w:hAnsi="Times New Roman"/>
          <w:b w:val="0"/>
          <w:color w:val="000000" w:themeColor="text1"/>
          <w:sz w:val="24"/>
          <w:szCs w:val="24"/>
        </w:rPr>
        <w:t xml:space="preserve">mažmeninės prekybos dalis </w:t>
      </w:r>
      <w:r w:rsidRPr="001A16D9">
        <w:rPr>
          <w:rStyle w:val="Grietas"/>
          <w:rFonts w:ascii="Times New Roman" w:hAnsi="Times New Roman"/>
          <w:color w:val="000000" w:themeColor="text1"/>
          <w:sz w:val="24"/>
          <w:szCs w:val="24"/>
        </w:rPr>
        <w:t>M kategorijos</w:t>
      </w:r>
      <w:r w:rsidRPr="001A16D9">
        <w:rPr>
          <w:rStyle w:val="Grietas"/>
          <w:rFonts w:ascii="Times New Roman" w:hAnsi="Times New Roman"/>
          <w:b w:val="0"/>
          <w:color w:val="000000" w:themeColor="text1"/>
          <w:sz w:val="24"/>
          <w:szCs w:val="24"/>
        </w:rPr>
        <w:t xml:space="preserve"> kiaušinių kainų grandinėje padidėjo 9,21 proc. (nuo 36,93 iki 40,33 proc.), o gamintojų</w:t>
      </w:r>
      <w:r w:rsidRPr="001A16D9">
        <w:rPr>
          <w:rStyle w:val="Grietas"/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F088E">
        <w:rPr>
          <w:rFonts w:ascii="Times New Roman" w:hAnsi="Times New Roman"/>
          <w:sz w:val="24"/>
          <w:szCs w:val="24"/>
        </w:rPr>
        <w:t>dalis</w:t>
      </w:r>
      <w:r w:rsidRPr="001A16D9">
        <w:rPr>
          <w:rFonts w:ascii="Times New Roman" w:hAnsi="Times New Roman"/>
          <w:sz w:val="24"/>
          <w:szCs w:val="24"/>
        </w:rPr>
        <w:t xml:space="preserve">  sumažėjo 7,51 proc. (nuo 45,67 iki 72,24 proc.). PVM dalis sudarė 17,4 proc. visos mažmeninės kainos.</w:t>
      </w:r>
    </w:p>
    <w:p w:rsidR="008C26CB" w:rsidRPr="001A16D9" w:rsidRDefault="00484133" w:rsidP="00E50F4A">
      <w:pPr>
        <w:spacing w:after="0" w:line="360" w:lineRule="auto"/>
        <w:ind w:right="-65"/>
        <w:jc w:val="both"/>
        <w:rPr>
          <w:rFonts w:ascii="Times New Roman" w:hAnsi="Times New Roman"/>
          <w:sz w:val="24"/>
          <w:szCs w:val="24"/>
        </w:rPr>
      </w:pPr>
      <w:r w:rsidRPr="001A16D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0D8AD5C8" wp14:editId="24A4D3C6">
            <wp:extent cx="6686550" cy="3914775"/>
            <wp:effectExtent l="0" t="0" r="0" b="9525"/>
            <wp:docPr id="11" name="Diagrama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782A" w:rsidRDefault="0032782A" w:rsidP="00883ADD">
      <w:pPr>
        <w:spacing w:after="0"/>
        <w:rPr>
          <w:rFonts w:ascii="Times New Roman" w:eastAsiaTheme="minorHAnsi" w:hAnsi="Times New Roman"/>
          <w:sz w:val="16"/>
          <w:szCs w:val="16"/>
        </w:rPr>
      </w:pPr>
      <w:r w:rsidRPr="00883ADD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lt-LT"/>
        </w:rPr>
        <w:t xml:space="preserve">Pastaba: </w:t>
      </w:r>
      <w:r w:rsidRPr="00883ADD">
        <w:rPr>
          <w:rFonts w:ascii="Times New Roman" w:eastAsiaTheme="minorHAnsi" w:hAnsi="Times New Roman"/>
          <w:sz w:val="16"/>
          <w:szCs w:val="16"/>
        </w:rPr>
        <w:t>apskaičiuojant vidutines mažmenines produktų kainas nenaudojamos trumpalaikių nuolaidų (akcijų) kainų vertės, o nuo 2018 m. neįtraukiamos prekybos tinklų privačių prekių ženklų produktų kainos.</w:t>
      </w:r>
    </w:p>
    <w:p w:rsidR="0031741A" w:rsidRDefault="003604BB" w:rsidP="0031741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Šaltinis</w:t>
      </w:r>
      <w:r w:rsidR="0031741A" w:rsidRPr="0031741A">
        <w:rPr>
          <w:rFonts w:ascii="Times New Roman" w:hAnsi="Times New Roman"/>
          <w:sz w:val="20"/>
          <w:szCs w:val="20"/>
        </w:rPr>
        <w:t xml:space="preserve"> ŽŪIKVC (LŽŪMPRIS)</w:t>
      </w:r>
    </w:p>
    <w:p w:rsidR="00883ADD" w:rsidRDefault="00883ADD" w:rsidP="00883ADD">
      <w:pPr>
        <w:spacing w:after="0"/>
        <w:rPr>
          <w:rFonts w:ascii="Times New Roman" w:eastAsiaTheme="minorHAnsi" w:hAnsi="Times New Roman"/>
          <w:sz w:val="16"/>
          <w:szCs w:val="16"/>
        </w:rPr>
      </w:pPr>
    </w:p>
    <w:p w:rsidR="0031741A" w:rsidRPr="00883ADD" w:rsidRDefault="0031741A" w:rsidP="00883ADD">
      <w:pPr>
        <w:spacing w:after="0"/>
        <w:rPr>
          <w:rFonts w:ascii="Times New Roman" w:eastAsiaTheme="minorHAnsi" w:hAnsi="Times New Roman"/>
          <w:sz w:val="16"/>
          <w:szCs w:val="16"/>
        </w:rPr>
      </w:pPr>
    </w:p>
    <w:p w:rsidR="00484133" w:rsidRPr="001A16D9" w:rsidRDefault="008C26CB" w:rsidP="00484133">
      <w:pPr>
        <w:spacing w:after="0" w:line="360" w:lineRule="auto"/>
        <w:ind w:right="-62" w:firstLine="1134"/>
        <w:jc w:val="both"/>
        <w:rPr>
          <w:rFonts w:ascii="Times New Roman" w:hAnsi="Times New Roman"/>
          <w:sz w:val="24"/>
          <w:szCs w:val="24"/>
        </w:rPr>
      </w:pPr>
      <w:r w:rsidRPr="001A16D9">
        <w:rPr>
          <w:rFonts w:ascii="Times New Roman" w:hAnsi="Times New Roman"/>
          <w:sz w:val="24"/>
          <w:szCs w:val="24"/>
        </w:rPr>
        <w:t xml:space="preserve">Analizuojamu laikotarpiu M kategorijos kiaušinių kainų grandinėje mažmeninės prekybos dalis, palyginti su 2018 m. IV ketvirčiu, padidėjo 3,4 proc. punktu (iki 40,3 proc.), gamintojų </w:t>
      </w:r>
      <w:r w:rsidR="008F088E">
        <w:rPr>
          <w:rFonts w:ascii="Times New Roman" w:hAnsi="Times New Roman"/>
          <w:sz w:val="24"/>
          <w:szCs w:val="24"/>
        </w:rPr>
        <w:t>dalis</w:t>
      </w:r>
      <w:r w:rsidRPr="001A16D9">
        <w:rPr>
          <w:rFonts w:ascii="Times New Roman" w:hAnsi="Times New Roman"/>
          <w:sz w:val="24"/>
          <w:szCs w:val="24"/>
        </w:rPr>
        <w:t xml:space="preserve"> sumažėjo, atitinkamai, 3,4 proc. punktais (iki 42,3 proc.), PVM dalis sudarė 17,4 proc. visos mažmeninės kainos</w:t>
      </w:r>
      <w:r w:rsidR="00484133" w:rsidRPr="001A16D9">
        <w:rPr>
          <w:rFonts w:ascii="Times New Roman" w:hAnsi="Times New Roman"/>
          <w:sz w:val="24"/>
          <w:szCs w:val="24"/>
        </w:rPr>
        <w:t>.</w:t>
      </w:r>
    </w:p>
    <w:p w:rsidR="00ED7D9F" w:rsidRPr="001A16D9" w:rsidRDefault="00ED7D9F" w:rsidP="00484133">
      <w:pPr>
        <w:spacing w:after="0" w:line="360" w:lineRule="auto"/>
        <w:ind w:right="-62" w:firstLine="1134"/>
        <w:jc w:val="both"/>
        <w:rPr>
          <w:rFonts w:ascii="Times New Roman" w:hAnsi="Times New Roman"/>
          <w:sz w:val="24"/>
          <w:szCs w:val="24"/>
        </w:rPr>
      </w:pPr>
      <w:r w:rsidRPr="001A16D9">
        <w:rPr>
          <w:rFonts w:ascii="Times New Roman" w:hAnsi="Times New Roman"/>
          <w:sz w:val="24"/>
          <w:szCs w:val="24"/>
        </w:rPr>
        <w:t xml:space="preserve">ŽŪIKVC (LŽŪMPRIS) duomenimis </w:t>
      </w:r>
      <w:r w:rsidRPr="00897C32">
        <w:rPr>
          <w:rFonts w:ascii="Times New Roman" w:hAnsi="Times New Roman"/>
          <w:b/>
          <w:sz w:val="24"/>
          <w:szCs w:val="24"/>
        </w:rPr>
        <w:t>mažmeninė</w:t>
      </w:r>
      <w:r w:rsidR="00897C32">
        <w:rPr>
          <w:rFonts w:ascii="Times New Roman" w:hAnsi="Times New Roman"/>
          <w:b/>
          <w:sz w:val="24"/>
          <w:szCs w:val="24"/>
        </w:rPr>
        <w:t>s</w:t>
      </w:r>
      <w:r w:rsidRPr="00897C32">
        <w:rPr>
          <w:rFonts w:ascii="Times New Roman" w:hAnsi="Times New Roman"/>
          <w:b/>
          <w:sz w:val="24"/>
          <w:szCs w:val="24"/>
        </w:rPr>
        <w:t xml:space="preserve"> L kategorijos</w:t>
      </w:r>
      <w:r w:rsidR="00897C32">
        <w:rPr>
          <w:rFonts w:ascii="Times New Roman" w:hAnsi="Times New Roman"/>
          <w:sz w:val="24"/>
          <w:szCs w:val="24"/>
        </w:rPr>
        <w:t xml:space="preserve"> kiaušinių kainos</w:t>
      </w:r>
      <w:r w:rsidR="00AD2FB3" w:rsidRPr="001A16D9">
        <w:rPr>
          <w:rFonts w:ascii="Times New Roman" w:hAnsi="Times New Roman"/>
          <w:sz w:val="24"/>
          <w:szCs w:val="24"/>
        </w:rPr>
        <w:t xml:space="preserve"> 2019 m. pradžioje </w:t>
      </w:r>
      <w:r w:rsidRPr="001A16D9">
        <w:rPr>
          <w:rFonts w:ascii="Times New Roman" w:hAnsi="Times New Roman"/>
          <w:sz w:val="24"/>
          <w:szCs w:val="24"/>
        </w:rPr>
        <w:t xml:space="preserve">kai kuriose ES šalių sostinėse buvo nevienodos. </w:t>
      </w:r>
      <w:r w:rsidR="00AD2FB3" w:rsidRPr="001A16D9">
        <w:rPr>
          <w:rFonts w:ascii="Times New Roman" w:hAnsi="Times New Roman"/>
          <w:sz w:val="24"/>
          <w:szCs w:val="24"/>
        </w:rPr>
        <w:t>2019 m. 10 sav., palyginti su 2018 m. 49 sav., p</w:t>
      </w:r>
      <w:r w:rsidR="00046118" w:rsidRPr="001A16D9">
        <w:rPr>
          <w:rFonts w:ascii="Times New Roman" w:hAnsi="Times New Roman"/>
          <w:sz w:val="24"/>
          <w:szCs w:val="24"/>
        </w:rPr>
        <w:t>adidėjo</w:t>
      </w:r>
      <w:r w:rsidRPr="001A16D9">
        <w:rPr>
          <w:rFonts w:ascii="Times New Roman" w:hAnsi="Times New Roman"/>
          <w:sz w:val="24"/>
          <w:szCs w:val="24"/>
        </w:rPr>
        <w:t xml:space="preserve"> ka</w:t>
      </w:r>
      <w:r w:rsidR="00046118" w:rsidRPr="001A16D9">
        <w:rPr>
          <w:rFonts w:ascii="Times New Roman" w:hAnsi="Times New Roman"/>
          <w:sz w:val="24"/>
          <w:szCs w:val="24"/>
        </w:rPr>
        <w:t xml:space="preserve">inos Rygoje ir </w:t>
      </w:r>
      <w:r w:rsidRPr="001A16D9">
        <w:rPr>
          <w:rFonts w:ascii="Times New Roman" w:hAnsi="Times New Roman"/>
          <w:sz w:val="24"/>
          <w:szCs w:val="24"/>
        </w:rPr>
        <w:t>Budapešte</w:t>
      </w:r>
      <w:r w:rsidR="00046118" w:rsidRPr="001A16D9">
        <w:rPr>
          <w:rFonts w:ascii="Times New Roman" w:hAnsi="Times New Roman"/>
          <w:sz w:val="24"/>
          <w:szCs w:val="24"/>
        </w:rPr>
        <w:t>, tačiau Prahoje sumažėjo iki 0,99 EUR/10 vnt.</w:t>
      </w:r>
    </w:p>
    <w:p w:rsidR="00ED7D9F" w:rsidRPr="001A16D9" w:rsidRDefault="00ED7D9F" w:rsidP="00ED7D9F">
      <w:pPr>
        <w:spacing w:after="0"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1A16D9">
        <w:rPr>
          <w:rFonts w:ascii="Times New Roman" w:hAnsi="Times New Roman"/>
          <w:b/>
          <w:sz w:val="24"/>
          <w:szCs w:val="24"/>
        </w:rPr>
        <w:t>Mažmeninės L kat. kiaušinių kainos kai kuriose ES šalių</w:t>
      </w:r>
      <w:r w:rsidR="00046118" w:rsidRPr="001A16D9">
        <w:rPr>
          <w:rFonts w:ascii="Times New Roman" w:hAnsi="Times New Roman"/>
          <w:b/>
          <w:sz w:val="24"/>
          <w:szCs w:val="24"/>
        </w:rPr>
        <w:t xml:space="preserve"> sostinėse, EUR/10 vnt.</w:t>
      </w:r>
    </w:p>
    <w:tbl>
      <w:tblPr>
        <w:tblW w:w="10502" w:type="dxa"/>
        <w:tblInd w:w="113" w:type="dxa"/>
        <w:tblLook w:val="04A0" w:firstRow="1" w:lastRow="0" w:firstColumn="1" w:lastColumn="0" w:noHBand="0" w:noVBand="1"/>
      </w:tblPr>
      <w:tblGrid>
        <w:gridCol w:w="1540"/>
        <w:gridCol w:w="566"/>
        <w:gridCol w:w="566"/>
        <w:gridCol w:w="566"/>
        <w:gridCol w:w="566"/>
        <w:gridCol w:w="595"/>
        <w:gridCol w:w="595"/>
        <w:gridCol w:w="595"/>
        <w:gridCol w:w="595"/>
        <w:gridCol w:w="566"/>
        <w:gridCol w:w="566"/>
        <w:gridCol w:w="566"/>
        <w:gridCol w:w="616"/>
        <w:gridCol w:w="666"/>
        <w:gridCol w:w="348"/>
        <w:gridCol w:w="990"/>
      </w:tblGrid>
      <w:tr w:rsidR="00ED7D9F" w:rsidRPr="00883ADD" w:rsidTr="00E349E4">
        <w:trPr>
          <w:trHeight w:val="390"/>
        </w:trPr>
        <w:tc>
          <w:tcPr>
            <w:tcW w:w="1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264" w:type="dxa"/>
            <w:gridSpan w:val="4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2016</w:t>
            </w:r>
          </w:p>
        </w:tc>
        <w:tc>
          <w:tcPr>
            <w:tcW w:w="2380" w:type="dxa"/>
            <w:gridSpan w:val="4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2017</w:t>
            </w:r>
          </w:p>
        </w:tc>
        <w:tc>
          <w:tcPr>
            <w:tcW w:w="1698" w:type="dxa"/>
            <w:gridSpan w:val="3"/>
            <w:tcBorders>
              <w:top w:val="single" w:sz="4" w:space="0" w:color="BFBFB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2018</w:t>
            </w:r>
          </w:p>
        </w:tc>
        <w:tc>
          <w:tcPr>
            <w:tcW w:w="61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2019</w:t>
            </w:r>
          </w:p>
        </w:tc>
        <w:tc>
          <w:tcPr>
            <w:tcW w:w="2004" w:type="dxa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Pokytis %</w:t>
            </w:r>
          </w:p>
        </w:tc>
      </w:tr>
      <w:tr w:rsidR="00883ADD" w:rsidRPr="00883ADD" w:rsidTr="00E349E4">
        <w:trPr>
          <w:trHeight w:val="885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BFBFBF"/>
            <w:noWrap/>
            <w:textDirection w:val="btLr"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10 sav.</w:t>
            </w:r>
          </w:p>
        </w:tc>
        <w:tc>
          <w:tcPr>
            <w:tcW w:w="56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textDirection w:val="btLr"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23 sav.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textDirection w:val="btLr"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36 sav.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textDirection w:val="btLr"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49 sav.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textDirection w:val="btLr"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10 sav.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textDirection w:val="btLr"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23 sav.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textDirection w:val="btLr"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36 sav.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textDirection w:val="btLr"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49 sav.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BFBFBF"/>
            <w:noWrap/>
            <w:textDirection w:val="btLr"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10 sav.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BFBFBF"/>
            <w:noWrap/>
            <w:textDirection w:val="btLr"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36 sav.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000000" w:fill="BFBFBF"/>
            <w:noWrap/>
            <w:textDirection w:val="btLr"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49 sav.</w:t>
            </w:r>
          </w:p>
        </w:tc>
        <w:tc>
          <w:tcPr>
            <w:tcW w:w="616" w:type="dxa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textDirection w:val="btLr"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10 sav.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BFBFBF"/>
            <w:noWrap/>
            <w:textDirection w:val="btLr"/>
            <w:vAlign w:val="center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ketvirčio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BFBFBF"/>
            <w:noWrap/>
            <w:textDirection w:val="btLr"/>
            <w:vAlign w:val="center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metų</w:t>
            </w:r>
          </w:p>
        </w:tc>
      </w:tr>
      <w:tr w:rsidR="00883ADD" w:rsidRPr="00883ADD" w:rsidTr="00E349E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Vilniuje</w:t>
            </w:r>
          </w:p>
        </w:tc>
        <w:tc>
          <w:tcPr>
            <w:tcW w:w="56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1,33</w:t>
            </w:r>
          </w:p>
        </w:tc>
        <w:tc>
          <w:tcPr>
            <w:tcW w:w="5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1,43</w:t>
            </w:r>
          </w:p>
        </w:tc>
        <w:tc>
          <w:tcPr>
            <w:tcW w:w="5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1,42</w:t>
            </w:r>
          </w:p>
        </w:tc>
        <w:tc>
          <w:tcPr>
            <w:tcW w:w="5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1,41</w:t>
            </w:r>
          </w:p>
        </w:tc>
        <w:tc>
          <w:tcPr>
            <w:tcW w:w="59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1,41</w:t>
            </w:r>
          </w:p>
        </w:tc>
        <w:tc>
          <w:tcPr>
            <w:tcW w:w="59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1,43</w:t>
            </w:r>
          </w:p>
        </w:tc>
        <w:tc>
          <w:tcPr>
            <w:tcW w:w="59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1,40</w:t>
            </w:r>
          </w:p>
        </w:tc>
        <w:tc>
          <w:tcPr>
            <w:tcW w:w="59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1,54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1,55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1,39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1,39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0,72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ED7D9F" w:rsidRPr="00883ADD" w:rsidRDefault="00ED7D9F" w:rsidP="00ED7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-9,68</w:t>
            </w:r>
          </w:p>
        </w:tc>
      </w:tr>
      <w:tr w:rsidR="00883ADD" w:rsidRPr="00883ADD" w:rsidTr="00E349E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Rygoje</w:t>
            </w:r>
          </w:p>
        </w:tc>
        <w:tc>
          <w:tcPr>
            <w:tcW w:w="5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1,57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1,50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1,50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1,96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D9F" w:rsidRPr="00883ADD" w:rsidRDefault="00ED7D9F" w:rsidP="00ED7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7,08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24,84</w:t>
            </w:r>
          </w:p>
        </w:tc>
      </w:tr>
      <w:tr w:rsidR="00883ADD" w:rsidRPr="00883ADD" w:rsidTr="00E349E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Prahoje</w:t>
            </w:r>
          </w:p>
        </w:tc>
        <w:tc>
          <w:tcPr>
            <w:tcW w:w="5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0,79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1,18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1,23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1,73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D7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1,67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1,54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1,19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-3,79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-13,01</w:t>
            </w:r>
          </w:p>
        </w:tc>
      </w:tr>
      <w:tr w:rsidR="00883ADD" w:rsidRPr="00883ADD" w:rsidTr="00E349E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Budapešte</w:t>
            </w:r>
          </w:p>
        </w:tc>
        <w:tc>
          <w:tcPr>
            <w:tcW w:w="5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1,26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1,19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1,23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1,90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D7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1,42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D7D9F" w:rsidRPr="00883ADD" w:rsidRDefault="00ED7D9F" w:rsidP="00ED7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1,35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</w:tcPr>
          <w:p w:rsidR="00ED7D9F" w:rsidRPr="00883ADD" w:rsidRDefault="00ED7D9F" w:rsidP="00ED7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1,49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10,37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t-LT"/>
              </w:rPr>
              <w:t>-3,43</w:t>
            </w:r>
          </w:p>
        </w:tc>
      </w:tr>
      <w:tr w:rsidR="00883ADD" w:rsidRPr="00883ADD" w:rsidTr="00E349E4">
        <w:trPr>
          <w:trHeight w:val="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1A16D9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1A16D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D7D9F" w:rsidRPr="00883ADD" w:rsidRDefault="00ED7D9F" w:rsidP="00E349E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883ADD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  <w:t> </w:t>
            </w:r>
          </w:p>
        </w:tc>
      </w:tr>
    </w:tbl>
    <w:p w:rsidR="0031741A" w:rsidRDefault="0031741A" w:rsidP="0031741A">
      <w:pPr>
        <w:spacing w:after="0"/>
        <w:ind w:left="6480" w:firstLine="1296"/>
        <w:jc w:val="center"/>
        <w:rPr>
          <w:rFonts w:ascii="Times New Roman" w:hAnsi="Times New Roman"/>
          <w:sz w:val="20"/>
          <w:szCs w:val="20"/>
        </w:rPr>
      </w:pPr>
    </w:p>
    <w:p w:rsidR="00ED7D9F" w:rsidRPr="0031741A" w:rsidRDefault="003604BB" w:rsidP="0031741A">
      <w:pPr>
        <w:spacing w:after="0"/>
        <w:ind w:left="6480" w:firstLine="129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Šaltinis</w:t>
      </w:r>
      <w:r w:rsidR="00ED7D9F" w:rsidRPr="0031741A">
        <w:rPr>
          <w:rFonts w:ascii="Times New Roman" w:hAnsi="Times New Roman"/>
          <w:sz w:val="20"/>
          <w:szCs w:val="20"/>
        </w:rPr>
        <w:t xml:space="preserve"> ŽŪIKVC (LŽŪMPRIS)</w:t>
      </w:r>
    </w:p>
    <w:p w:rsidR="00ED7D9F" w:rsidRPr="001A16D9" w:rsidRDefault="00ED7D9F" w:rsidP="00484133">
      <w:pPr>
        <w:spacing w:after="0" w:line="360" w:lineRule="auto"/>
        <w:ind w:right="-62" w:firstLine="1134"/>
        <w:jc w:val="both"/>
        <w:rPr>
          <w:rFonts w:ascii="Times New Roman" w:hAnsi="Times New Roman"/>
          <w:sz w:val="24"/>
          <w:szCs w:val="24"/>
        </w:rPr>
      </w:pPr>
    </w:p>
    <w:p w:rsidR="00862BD8" w:rsidRPr="001A16D9" w:rsidRDefault="0055786C" w:rsidP="000F3780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A16D9">
        <w:rPr>
          <w:rFonts w:ascii="Times New Roman" w:eastAsiaTheme="minorHAnsi" w:hAnsi="Times New Roman"/>
          <w:sz w:val="24"/>
          <w:szCs w:val="24"/>
        </w:rPr>
        <w:lastRenderedPageBreak/>
        <w:tab/>
        <w:t>20</w:t>
      </w:r>
      <w:r w:rsidR="00F03D67" w:rsidRPr="001A16D9">
        <w:rPr>
          <w:rFonts w:ascii="Times New Roman" w:eastAsiaTheme="minorHAnsi" w:hAnsi="Times New Roman"/>
          <w:sz w:val="24"/>
          <w:szCs w:val="24"/>
        </w:rPr>
        <w:t>19 m ketvirtį, palyginti su 2018 m. IV ketvirčiu</w:t>
      </w:r>
      <w:r w:rsidR="008F088E">
        <w:rPr>
          <w:rFonts w:ascii="Times New Roman" w:eastAsiaTheme="minorHAnsi" w:hAnsi="Times New Roman"/>
          <w:sz w:val="24"/>
          <w:szCs w:val="24"/>
        </w:rPr>
        <w:t>,</w:t>
      </w:r>
      <w:r w:rsidR="00F03D67" w:rsidRPr="001A16D9">
        <w:rPr>
          <w:rFonts w:ascii="Times New Roman" w:eastAsiaTheme="minorHAnsi" w:hAnsi="Times New Roman"/>
          <w:sz w:val="24"/>
          <w:szCs w:val="24"/>
        </w:rPr>
        <w:t xml:space="preserve"> šviežių supakuotų  </w:t>
      </w:r>
      <w:r w:rsidR="00F03D67" w:rsidRPr="00897C32">
        <w:rPr>
          <w:rFonts w:ascii="Times New Roman" w:eastAsiaTheme="minorHAnsi" w:hAnsi="Times New Roman"/>
          <w:b/>
          <w:sz w:val="24"/>
          <w:szCs w:val="24"/>
        </w:rPr>
        <w:t xml:space="preserve">L kat. </w:t>
      </w:r>
      <w:r w:rsidR="00F03D67" w:rsidRPr="001A16D9">
        <w:rPr>
          <w:rFonts w:ascii="Times New Roman" w:eastAsiaTheme="minorHAnsi" w:hAnsi="Times New Roman"/>
          <w:sz w:val="24"/>
          <w:szCs w:val="24"/>
        </w:rPr>
        <w:t>kiaušinių pardavimo apimtys sumažėjo 16,4 proc. ir buvo 12,6 p</w:t>
      </w:r>
      <w:r w:rsidR="00897C32">
        <w:rPr>
          <w:rFonts w:ascii="Times New Roman" w:eastAsiaTheme="minorHAnsi" w:hAnsi="Times New Roman"/>
          <w:sz w:val="24"/>
          <w:szCs w:val="24"/>
        </w:rPr>
        <w:t>roc. mažesnės nei prieš metus. D</w:t>
      </w:r>
      <w:r w:rsidR="00E50F4A" w:rsidRPr="001A16D9">
        <w:rPr>
          <w:rFonts w:ascii="Times New Roman" w:eastAsiaTheme="minorHAnsi" w:hAnsi="Times New Roman"/>
          <w:sz w:val="24"/>
          <w:szCs w:val="24"/>
        </w:rPr>
        <w:t xml:space="preserve">idmeninė gamintojų kaina  analizuojamu laikotarpiu </w:t>
      </w:r>
      <w:r w:rsidR="00E70975" w:rsidRPr="001A16D9">
        <w:rPr>
          <w:rFonts w:ascii="Times New Roman" w:eastAsiaTheme="minorHAnsi" w:hAnsi="Times New Roman"/>
          <w:sz w:val="24"/>
          <w:szCs w:val="24"/>
        </w:rPr>
        <w:t xml:space="preserve">sumažėjo vos 0,43 proc. </w:t>
      </w:r>
    </w:p>
    <w:p w:rsidR="00484133" w:rsidRPr="001A16D9" w:rsidRDefault="00F03D67" w:rsidP="00BC5A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A16D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217058F" wp14:editId="683CFBF0">
            <wp:extent cx="6600825" cy="2943225"/>
            <wp:effectExtent l="0" t="0" r="9525" b="9525"/>
            <wp:docPr id="12" name="Diagrama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4133" w:rsidRPr="001A16D9" w:rsidRDefault="00484133" w:rsidP="00556D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83ADD" w:rsidRPr="00883ADD" w:rsidRDefault="003604BB" w:rsidP="00883ADD">
      <w:pPr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Šaltinis</w:t>
      </w:r>
      <w:r w:rsidR="00883ADD" w:rsidRPr="00883ADD">
        <w:rPr>
          <w:rFonts w:ascii="Times New Roman" w:eastAsiaTheme="minorHAnsi" w:hAnsi="Times New Roman"/>
          <w:sz w:val="20"/>
          <w:szCs w:val="20"/>
        </w:rPr>
        <w:t xml:space="preserve"> ŽŪIKVC(LŽŪMRIS)</w:t>
      </w:r>
    </w:p>
    <w:p w:rsidR="00BC5A9B" w:rsidRPr="001A16D9" w:rsidRDefault="00BC5A9B" w:rsidP="00D07E3C">
      <w:pPr>
        <w:ind w:firstLine="1296"/>
        <w:jc w:val="both"/>
        <w:rPr>
          <w:rFonts w:ascii="Times New Roman" w:eastAsiaTheme="minorHAnsi" w:hAnsi="Times New Roman"/>
          <w:sz w:val="24"/>
          <w:szCs w:val="24"/>
        </w:rPr>
      </w:pPr>
    </w:p>
    <w:p w:rsidR="00E50F4A" w:rsidRPr="001A16D9" w:rsidRDefault="00E50F4A" w:rsidP="00D07E3C">
      <w:pPr>
        <w:ind w:firstLine="1296"/>
        <w:jc w:val="both"/>
        <w:rPr>
          <w:rFonts w:ascii="Times New Roman" w:eastAsiaTheme="minorHAnsi" w:hAnsi="Times New Roman"/>
          <w:sz w:val="24"/>
          <w:szCs w:val="24"/>
        </w:rPr>
      </w:pPr>
      <w:r w:rsidRPr="00897C32">
        <w:rPr>
          <w:rFonts w:ascii="Times New Roman" w:eastAsiaTheme="minorHAnsi" w:hAnsi="Times New Roman"/>
          <w:b/>
          <w:sz w:val="24"/>
          <w:szCs w:val="24"/>
        </w:rPr>
        <w:t>M kat.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 kiaušinių pardavimo apimtys 2019 m. I ketvirtį, palyginti su 2018 m. I</w:t>
      </w:r>
      <w:r w:rsidR="00E70975" w:rsidRPr="001A16D9">
        <w:rPr>
          <w:rFonts w:ascii="Times New Roman" w:eastAsiaTheme="minorHAnsi" w:hAnsi="Times New Roman"/>
          <w:sz w:val="24"/>
          <w:szCs w:val="24"/>
        </w:rPr>
        <w:t>V ketvirčiu</w:t>
      </w:r>
      <w:r w:rsidR="008F088E">
        <w:rPr>
          <w:rFonts w:ascii="Times New Roman" w:eastAsiaTheme="minorHAnsi" w:hAnsi="Times New Roman"/>
          <w:sz w:val="24"/>
          <w:szCs w:val="24"/>
        </w:rPr>
        <w:t>,</w:t>
      </w:r>
      <w:r w:rsidR="00E70975" w:rsidRPr="001A16D9">
        <w:rPr>
          <w:rFonts w:ascii="Times New Roman" w:eastAsiaTheme="minorHAnsi" w:hAnsi="Times New Roman"/>
          <w:sz w:val="24"/>
          <w:szCs w:val="24"/>
        </w:rPr>
        <w:t xml:space="preserve"> sumažėjo 11,7 proc. ir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 buvo </w:t>
      </w:r>
      <w:r w:rsidR="00E70975" w:rsidRPr="001A16D9">
        <w:rPr>
          <w:rFonts w:ascii="Times New Roman" w:eastAsiaTheme="minorHAnsi" w:hAnsi="Times New Roman"/>
          <w:sz w:val="24"/>
          <w:szCs w:val="24"/>
        </w:rPr>
        <w:t>8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,6 proc. mažesnės nei prieš metus. </w:t>
      </w:r>
      <w:r w:rsidR="00E70975" w:rsidRPr="001A16D9">
        <w:rPr>
          <w:rFonts w:ascii="Times New Roman" w:eastAsiaTheme="minorHAnsi" w:hAnsi="Times New Roman"/>
          <w:sz w:val="24"/>
          <w:szCs w:val="24"/>
        </w:rPr>
        <w:t xml:space="preserve">Didmeninė 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gamintojų kaina analizuojamu laikotarpiu </w:t>
      </w:r>
      <w:r w:rsidR="00E70975" w:rsidRPr="001A16D9">
        <w:rPr>
          <w:rFonts w:ascii="Times New Roman" w:eastAsiaTheme="minorHAnsi" w:hAnsi="Times New Roman"/>
          <w:sz w:val="24"/>
          <w:szCs w:val="24"/>
        </w:rPr>
        <w:t>sumažėjo 3,1 proc.</w:t>
      </w:r>
      <w:r w:rsidR="008F088E">
        <w:rPr>
          <w:rFonts w:ascii="Times New Roman" w:eastAsiaTheme="minorHAnsi" w:hAnsi="Times New Roman"/>
          <w:sz w:val="24"/>
          <w:szCs w:val="24"/>
        </w:rPr>
        <w:t>,</w:t>
      </w:r>
      <w:r w:rsidR="00E70975" w:rsidRPr="001A16D9">
        <w:rPr>
          <w:rFonts w:ascii="Times New Roman" w:eastAsiaTheme="minorHAnsi" w:hAnsi="Times New Roman"/>
          <w:sz w:val="24"/>
          <w:szCs w:val="24"/>
        </w:rPr>
        <w:t xml:space="preserve"> iki 0,63 EUR/ 10 vnt.</w:t>
      </w:r>
    </w:p>
    <w:p w:rsidR="00BC5A9B" w:rsidRPr="001A16D9" w:rsidRDefault="00BC5A9B" w:rsidP="00D07E3C">
      <w:pPr>
        <w:ind w:firstLine="1296"/>
        <w:jc w:val="both"/>
        <w:rPr>
          <w:rFonts w:ascii="Times New Roman" w:eastAsiaTheme="minorHAnsi" w:hAnsi="Times New Roman"/>
          <w:sz w:val="24"/>
          <w:szCs w:val="24"/>
        </w:rPr>
      </w:pPr>
    </w:p>
    <w:p w:rsidR="001A16D9" w:rsidRDefault="00E70975" w:rsidP="001A16D9">
      <w:pPr>
        <w:rPr>
          <w:rFonts w:ascii="Times New Roman" w:eastAsiaTheme="minorHAnsi" w:hAnsi="Times New Roman"/>
          <w:sz w:val="24"/>
          <w:szCs w:val="24"/>
        </w:rPr>
      </w:pPr>
      <w:r w:rsidRPr="001A16D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4E2BCEB6" wp14:editId="19E622EB">
            <wp:extent cx="6600825" cy="3181350"/>
            <wp:effectExtent l="0" t="0" r="9525" b="0"/>
            <wp:docPr id="4" name="Diagrama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03D67" w:rsidRPr="00883ADD" w:rsidRDefault="003604BB" w:rsidP="001A16D9">
      <w:pPr>
        <w:jc w:val="right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Šaltinis</w:t>
      </w:r>
      <w:r w:rsidR="00D07E3C" w:rsidRPr="00883ADD">
        <w:rPr>
          <w:rFonts w:ascii="Times New Roman" w:eastAsiaTheme="minorHAnsi" w:hAnsi="Times New Roman"/>
          <w:sz w:val="20"/>
          <w:szCs w:val="20"/>
        </w:rPr>
        <w:t xml:space="preserve"> </w:t>
      </w:r>
      <w:r w:rsidR="001A16D9" w:rsidRPr="00883ADD">
        <w:rPr>
          <w:rFonts w:ascii="Times New Roman" w:eastAsiaTheme="minorHAnsi" w:hAnsi="Times New Roman"/>
          <w:sz w:val="20"/>
          <w:szCs w:val="20"/>
        </w:rPr>
        <w:t>ŽŪIKVC(LŽŪMRIS)</w:t>
      </w:r>
    </w:p>
    <w:p w:rsidR="00F03D67" w:rsidRPr="001A16D9" w:rsidRDefault="0058298D" w:rsidP="00525CC9">
      <w:pPr>
        <w:spacing w:after="0" w:line="360" w:lineRule="auto"/>
        <w:ind w:firstLine="129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16D9">
        <w:rPr>
          <w:rFonts w:ascii="Times New Roman" w:eastAsia="Times New Roman" w:hAnsi="Times New Roman"/>
          <w:bCs/>
          <w:sz w:val="24"/>
          <w:szCs w:val="24"/>
        </w:rPr>
        <w:t xml:space="preserve">2019 m. I ketvirtį, palyginti su 2018 m. IV ketvirčiu, kiaušinių kainos kaimyninėse šalyse taip pat mažėjo. Labiausiai  vidutinės didmeninės kiaušinių (L ir M kat.) kainos sumažėjo Latvijoje  </w:t>
      </w:r>
      <w:r w:rsidRPr="001A16D9">
        <w:rPr>
          <w:rFonts w:ascii="Times New Roman" w:hAnsi="Times New Roman"/>
          <w:sz w:val="24"/>
          <w:szCs w:val="24"/>
        </w:rPr>
        <w:t xml:space="preserve">– 6,45 proc., iki 6,91 </w:t>
      </w:r>
      <w:proofErr w:type="spellStart"/>
      <w:r w:rsidRPr="001A16D9">
        <w:rPr>
          <w:rFonts w:ascii="Times New Roman" w:hAnsi="Times New Roman"/>
          <w:sz w:val="24"/>
          <w:szCs w:val="24"/>
        </w:rPr>
        <w:t>Eur</w:t>
      </w:r>
      <w:proofErr w:type="spellEnd"/>
      <w:r w:rsidRPr="001A16D9">
        <w:rPr>
          <w:rFonts w:ascii="Times New Roman" w:hAnsi="Times New Roman"/>
          <w:sz w:val="24"/>
          <w:szCs w:val="24"/>
        </w:rPr>
        <w:t>/100 vnt. Tačiau didmeninė lietuviškų kiaušinių kaina išliko mažiausia tarp kaimyninių šalių.</w:t>
      </w:r>
      <w:r w:rsidR="00D07E3C" w:rsidRPr="001A16D9">
        <w:rPr>
          <w:rFonts w:ascii="Times New Roman" w:hAnsi="Times New Roman"/>
          <w:sz w:val="24"/>
          <w:szCs w:val="24"/>
        </w:rPr>
        <w:t xml:space="preserve"> </w:t>
      </w:r>
    </w:p>
    <w:p w:rsidR="0058298D" w:rsidRPr="001A16D9" w:rsidRDefault="0058298D" w:rsidP="00556D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82A" w:rsidRPr="001A16D9" w:rsidRDefault="0032782A" w:rsidP="00556D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782A" w:rsidRPr="001A16D9" w:rsidRDefault="0032782A" w:rsidP="001A16D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5A9B" w:rsidRPr="001A16D9" w:rsidRDefault="00BC5A9B" w:rsidP="005829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5A9B" w:rsidRPr="001A16D9" w:rsidRDefault="00BC5A9B" w:rsidP="005829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97C32" w:rsidRDefault="00556D65" w:rsidP="005829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A16D9">
        <w:rPr>
          <w:rFonts w:ascii="Times New Roman" w:eastAsia="Times New Roman" w:hAnsi="Times New Roman"/>
          <w:b/>
          <w:bCs/>
          <w:sz w:val="24"/>
          <w:szCs w:val="24"/>
        </w:rPr>
        <w:t xml:space="preserve">Vidutinės </w:t>
      </w:r>
      <w:r w:rsidR="00897C32">
        <w:rPr>
          <w:rFonts w:ascii="Times New Roman" w:eastAsia="Times New Roman" w:hAnsi="Times New Roman"/>
          <w:b/>
          <w:bCs/>
          <w:sz w:val="24"/>
          <w:szCs w:val="24"/>
        </w:rPr>
        <w:t>(L</w:t>
      </w:r>
      <w:r w:rsidR="008F088E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="00897C32">
        <w:rPr>
          <w:rFonts w:ascii="Times New Roman" w:eastAsia="Times New Roman" w:hAnsi="Times New Roman"/>
          <w:b/>
          <w:bCs/>
          <w:sz w:val="24"/>
          <w:szCs w:val="24"/>
        </w:rPr>
        <w:t xml:space="preserve">M kat.) </w:t>
      </w:r>
      <w:r w:rsidRPr="001A16D9">
        <w:rPr>
          <w:rFonts w:ascii="Times New Roman" w:eastAsia="Times New Roman" w:hAnsi="Times New Roman"/>
          <w:b/>
          <w:bCs/>
          <w:sz w:val="24"/>
          <w:szCs w:val="24"/>
        </w:rPr>
        <w:t>didmeninės šviežių supakuotų kiaušinių kainos kai</w:t>
      </w:r>
      <w:r w:rsidR="00897C32">
        <w:rPr>
          <w:rFonts w:ascii="Times New Roman" w:eastAsia="Times New Roman" w:hAnsi="Times New Roman"/>
          <w:b/>
          <w:bCs/>
          <w:sz w:val="24"/>
          <w:szCs w:val="24"/>
        </w:rPr>
        <w:t xml:space="preserve"> kuriose Europos valstybėse</w:t>
      </w:r>
    </w:p>
    <w:p w:rsidR="00556D65" w:rsidRPr="001A16D9" w:rsidRDefault="00897C32" w:rsidP="005829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2018</w:t>
      </w:r>
      <w:r w:rsidR="00556D65" w:rsidRPr="001A16D9">
        <w:rPr>
          <w:rFonts w:ascii="Times New Roman" w:eastAsia="Times New Roman" w:hAnsi="Times New Roman"/>
          <w:b/>
          <w:bCs/>
          <w:sz w:val="24"/>
          <w:szCs w:val="24"/>
        </w:rPr>
        <w:t xml:space="preserve"> m.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I ketvirtį </w:t>
      </w:r>
      <w:r w:rsidR="00556D65" w:rsidRPr="001A16D9"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56D65" w:rsidRPr="001A16D9">
        <w:rPr>
          <w:rFonts w:ascii="Times New Roman" w:eastAsia="Times New Roman" w:hAnsi="Times New Roman"/>
          <w:b/>
          <w:bCs/>
          <w:sz w:val="24"/>
          <w:szCs w:val="24"/>
        </w:rPr>
        <w:t xml:space="preserve">2019 m. </w:t>
      </w:r>
      <w:r>
        <w:rPr>
          <w:rFonts w:ascii="Times New Roman" w:eastAsia="Times New Roman" w:hAnsi="Times New Roman"/>
          <w:b/>
          <w:bCs/>
          <w:sz w:val="24"/>
          <w:szCs w:val="24"/>
        </w:rPr>
        <w:t>I ketvirtį</w:t>
      </w:r>
      <w:r w:rsidR="00556D65" w:rsidRPr="001A16D9">
        <w:rPr>
          <w:rFonts w:ascii="Times New Roman" w:eastAsia="Times New Roman" w:hAnsi="Times New Roman"/>
          <w:b/>
          <w:bCs/>
          <w:sz w:val="24"/>
          <w:szCs w:val="24"/>
        </w:rPr>
        <w:t>, EUR/100 vnt.</w:t>
      </w:r>
    </w:p>
    <w:p w:rsidR="00556D65" w:rsidRPr="001A16D9" w:rsidRDefault="00556D65" w:rsidP="0058298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0692" w:type="dxa"/>
        <w:tblLook w:val="04A0" w:firstRow="1" w:lastRow="0" w:firstColumn="1" w:lastColumn="0" w:noHBand="0" w:noVBand="1"/>
      </w:tblPr>
      <w:tblGrid>
        <w:gridCol w:w="1830"/>
        <w:gridCol w:w="1270"/>
        <w:gridCol w:w="1310"/>
        <w:gridCol w:w="1368"/>
        <w:gridCol w:w="1389"/>
        <w:gridCol w:w="1368"/>
        <w:gridCol w:w="1078"/>
        <w:gridCol w:w="1079"/>
      </w:tblGrid>
      <w:tr w:rsidR="00556D65" w:rsidRPr="001A16D9" w:rsidTr="00D07E3C">
        <w:trPr>
          <w:trHeight w:val="265"/>
        </w:trPr>
        <w:tc>
          <w:tcPr>
            <w:tcW w:w="18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556D65" w:rsidRPr="001A16D9" w:rsidRDefault="00556D65" w:rsidP="0058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37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556D65" w:rsidRPr="001A16D9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556D65" w:rsidRPr="001A16D9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5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556D65" w:rsidRPr="001A16D9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Pokytis, %</w:t>
            </w:r>
          </w:p>
        </w:tc>
      </w:tr>
      <w:tr w:rsidR="00556D65" w:rsidRPr="001A16D9" w:rsidTr="00D07E3C">
        <w:trPr>
          <w:trHeight w:val="265"/>
        </w:trPr>
        <w:tc>
          <w:tcPr>
            <w:tcW w:w="183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56D65" w:rsidRPr="001A16D9" w:rsidRDefault="00556D65" w:rsidP="0058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556D65" w:rsidRPr="001A16D9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556D65" w:rsidRPr="001A16D9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556D65" w:rsidRPr="001A16D9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556D65" w:rsidRPr="001A16D9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556D65" w:rsidRPr="001A16D9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556D65" w:rsidRPr="001A16D9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ketvirčio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556D65" w:rsidRPr="001A16D9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metų</w:t>
            </w:r>
          </w:p>
        </w:tc>
      </w:tr>
      <w:tr w:rsidR="00556D65" w:rsidRPr="001A16D9" w:rsidTr="00D07E3C">
        <w:trPr>
          <w:trHeight w:val="265"/>
        </w:trPr>
        <w:tc>
          <w:tcPr>
            <w:tcW w:w="1830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Lietuva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-1,05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-7,35</w:t>
            </w:r>
          </w:p>
        </w:tc>
      </w:tr>
      <w:tr w:rsidR="00556D65" w:rsidRPr="001A16D9" w:rsidTr="00D07E3C">
        <w:trPr>
          <w:trHeight w:val="265"/>
        </w:trPr>
        <w:tc>
          <w:tcPr>
            <w:tcW w:w="1830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Latvija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6,41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7,39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-6,45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-16,61</w:t>
            </w:r>
          </w:p>
        </w:tc>
      </w:tr>
      <w:tr w:rsidR="00556D65" w:rsidRPr="001A16D9" w:rsidTr="00D07E3C">
        <w:trPr>
          <w:trHeight w:val="265"/>
        </w:trPr>
        <w:tc>
          <w:tcPr>
            <w:tcW w:w="1830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Estija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8,43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6,91</w:t>
            </w:r>
          </w:p>
        </w:tc>
      </w:tr>
      <w:tr w:rsidR="00556D65" w:rsidRPr="001A16D9" w:rsidTr="00D07E3C">
        <w:trPr>
          <w:trHeight w:val="265"/>
        </w:trPr>
        <w:tc>
          <w:tcPr>
            <w:tcW w:w="1830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Lenkija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FFFFF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-3,33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  <w:hideMark/>
          </w:tcPr>
          <w:p w:rsidR="00556D65" w:rsidRPr="001C75ED" w:rsidRDefault="00556D65" w:rsidP="0058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75E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-25,41</w:t>
            </w:r>
          </w:p>
        </w:tc>
      </w:tr>
      <w:tr w:rsidR="00556D65" w:rsidRPr="001A16D9" w:rsidTr="00D07E3C">
        <w:trPr>
          <w:trHeight w:val="198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56D65" w:rsidRPr="001A16D9" w:rsidRDefault="00556D65" w:rsidP="0058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56D65" w:rsidRPr="001A16D9" w:rsidRDefault="00556D65" w:rsidP="0058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56D65" w:rsidRPr="001A16D9" w:rsidRDefault="00556D65" w:rsidP="0058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56D65" w:rsidRPr="001A16D9" w:rsidRDefault="00556D65" w:rsidP="0058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56D65" w:rsidRPr="001A16D9" w:rsidRDefault="00556D65" w:rsidP="0058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56D65" w:rsidRPr="001A16D9" w:rsidRDefault="00556D65" w:rsidP="0058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56D65" w:rsidRPr="001A16D9" w:rsidRDefault="00556D65" w:rsidP="0058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56D65" w:rsidRPr="001A16D9" w:rsidRDefault="00556D65" w:rsidP="0058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6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8298D" w:rsidRPr="001A16D9" w:rsidRDefault="0058298D" w:rsidP="0058298D">
      <w:pPr>
        <w:spacing w:after="0" w:line="276" w:lineRule="auto"/>
        <w:ind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58298D" w:rsidRPr="00897C32" w:rsidRDefault="0058298D" w:rsidP="0058298D">
      <w:pPr>
        <w:spacing w:after="0" w:line="276" w:lineRule="auto"/>
        <w:ind w:firstLine="720"/>
        <w:jc w:val="right"/>
        <w:rPr>
          <w:rFonts w:ascii="Times New Roman" w:eastAsiaTheme="minorHAnsi" w:hAnsi="Times New Roman"/>
          <w:sz w:val="20"/>
          <w:szCs w:val="20"/>
        </w:rPr>
      </w:pPr>
      <w:r w:rsidRPr="00897C32">
        <w:rPr>
          <w:rFonts w:ascii="Times New Roman" w:eastAsia="Times New Roman" w:hAnsi="Times New Roman"/>
          <w:sz w:val="20"/>
          <w:szCs w:val="20"/>
        </w:rPr>
        <w:t>Šaltiniai: ŽŪIKVC (LŽŪMPRIS), ZSRIR, LVAEI, EKI</w:t>
      </w:r>
    </w:p>
    <w:p w:rsidR="0058298D" w:rsidRPr="001A16D9" w:rsidRDefault="0058298D" w:rsidP="0058298D">
      <w:pPr>
        <w:spacing w:after="0" w:line="276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2067F6" w:rsidRPr="001A16D9" w:rsidRDefault="002067F6" w:rsidP="0058298D">
      <w:pPr>
        <w:spacing w:after="0" w:line="276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484133" w:rsidRPr="001A16D9" w:rsidRDefault="00484133" w:rsidP="003721B1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1A16D9">
        <w:rPr>
          <w:rFonts w:ascii="Times New Roman" w:eastAsiaTheme="minorHAnsi" w:hAnsi="Times New Roman"/>
          <w:sz w:val="24"/>
          <w:szCs w:val="24"/>
        </w:rPr>
        <w:t>Didmeninių kiaušinių kainų sumažėjimui</w:t>
      </w:r>
      <w:r w:rsidR="007F5E31">
        <w:rPr>
          <w:rFonts w:ascii="Times New Roman" w:eastAsiaTheme="minorHAnsi" w:hAnsi="Times New Roman"/>
          <w:sz w:val="24"/>
          <w:szCs w:val="24"/>
        </w:rPr>
        <w:t xml:space="preserve"> Lietuvoje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 galėjo turėti įtakos padidėjęs kiaušinių importas. Statistikos departamento duomenimis, 2019 m. sausio–</w:t>
      </w:r>
      <w:r w:rsidR="007F5E31">
        <w:rPr>
          <w:rFonts w:ascii="Times New Roman" w:eastAsiaTheme="minorHAnsi" w:hAnsi="Times New Roman"/>
          <w:sz w:val="24"/>
          <w:szCs w:val="24"/>
        </w:rPr>
        <w:t>kovo mėn. buvo importuota 56,24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 mln. vnt. kiaušinių (KN 0407) </w:t>
      </w:r>
      <w:r w:rsidRPr="001A16D9">
        <w:rPr>
          <w:rFonts w:ascii="Times New Roman" w:hAnsi="Times New Roman"/>
          <w:sz w:val="24"/>
          <w:szCs w:val="24"/>
        </w:rPr>
        <w:t>–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 9,7 proc. daugiau</w:t>
      </w:r>
      <w:r w:rsidR="007F5E31">
        <w:rPr>
          <w:rFonts w:ascii="Times New Roman" w:eastAsiaTheme="minorHAnsi" w:hAnsi="Times New Roman"/>
          <w:sz w:val="24"/>
          <w:szCs w:val="24"/>
        </w:rPr>
        <w:t xml:space="preserve"> (KN 0407) nei 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2018 m. IV ketvirtį ir 21,6 proc. daugiau nei tuo pačiu 2018 m. laikotarpiu. Kiaušinių importo vertė analizuojamu laikotarpiu </w:t>
      </w:r>
      <w:r w:rsidR="00A72257">
        <w:rPr>
          <w:rFonts w:ascii="Times New Roman" w:eastAsiaTheme="minorHAnsi" w:hAnsi="Times New Roman"/>
          <w:sz w:val="24"/>
          <w:szCs w:val="24"/>
        </w:rPr>
        <w:t>buvo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 1,2 proc. mažesnė </w:t>
      </w:r>
      <w:r w:rsidR="001A16D9">
        <w:rPr>
          <w:rFonts w:ascii="Times New Roman" w:eastAsiaTheme="minorHAnsi" w:hAnsi="Times New Roman"/>
          <w:sz w:val="24"/>
          <w:szCs w:val="24"/>
        </w:rPr>
        <w:t xml:space="preserve">nei 2018 m. IV ketvirtį ir 0,1 </w:t>
      </w:r>
      <w:r w:rsidRPr="001A16D9">
        <w:rPr>
          <w:rFonts w:ascii="Times New Roman" w:eastAsiaTheme="minorHAnsi" w:hAnsi="Times New Roman"/>
          <w:sz w:val="24"/>
          <w:szCs w:val="24"/>
        </w:rPr>
        <w:t>p</w:t>
      </w:r>
      <w:r w:rsidR="001A16D9">
        <w:rPr>
          <w:rFonts w:ascii="Times New Roman" w:eastAsiaTheme="minorHAnsi" w:hAnsi="Times New Roman"/>
          <w:sz w:val="24"/>
          <w:szCs w:val="24"/>
        </w:rPr>
        <w:t>r</w:t>
      </w:r>
      <w:r w:rsidRPr="001A16D9">
        <w:rPr>
          <w:rFonts w:ascii="Times New Roman" w:eastAsiaTheme="minorHAnsi" w:hAnsi="Times New Roman"/>
          <w:sz w:val="24"/>
          <w:szCs w:val="24"/>
        </w:rPr>
        <w:t>oc. mažesnė nei prie</w:t>
      </w:r>
      <w:r w:rsidR="00A72257">
        <w:rPr>
          <w:rFonts w:ascii="Times New Roman" w:eastAsiaTheme="minorHAnsi" w:hAnsi="Times New Roman"/>
          <w:sz w:val="24"/>
          <w:szCs w:val="24"/>
        </w:rPr>
        <w:t>š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 metus. Pagrindinės kiaušinių importo šalys partnerės buvo Latvija (27,7</w:t>
      </w:r>
      <w:r w:rsidR="007F5E31">
        <w:rPr>
          <w:rFonts w:ascii="Times New Roman" w:eastAsiaTheme="minorHAnsi" w:hAnsi="Times New Roman"/>
          <w:sz w:val="24"/>
          <w:szCs w:val="24"/>
        </w:rPr>
        <w:t>2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 mln. vnt.), Lenkija (15</w:t>
      </w:r>
      <w:r w:rsidR="0058298D" w:rsidRPr="001A16D9">
        <w:rPr>
          <w:rFonts w:ascii="Times New Roman" w:eastAsiaTheme="minorHAnsi" w:hAnsi="Times New Roman"/>
          <w:sz w:val="24"/>
          <w:szCs w:val="24"/>
        </w:rPr>
        <w:t>,6</w:t>
      </w:r>
      <w:r w:rsidR="007F5E31">
        <w:rPr>
          <w:rFonts w:ascii="Times New Roman" w:eastAsiaTheme="minorHAnsi" w:hAnsi="Times New Roman"/>
          <w:sz w:val="24"/>
          <w:szCs w:val="24"/>
        </w:rPr>
        <w:t>4</w:t>
      </w:r>
      <w:r w:rsidR="0058298D" w:rsidRPr="001A16D9">
        <w:rPr>
          <w:rFonts w:ascii="Times New Roman" w:eastAsiaTheme="minorHAnsi" w:hAnsi="Times New Roman"/>
          <w:sz w:val="24"/>
          <w:szCs w:val="24"/>
        </w:rPr>
        <w:t xml:space="preserve"> mln. vnt.</w:t>
      </w:r>
      <w:r w:rsidRPr="001A16D9">
        <w:rPr>
          <w:rFonts w:ascii="Times New Roman" w:eastAsiaTheme="minorHAnsi" w:hAnsi="Times New Roman"/>
          <w:sz w:val="24"/>
          <w:szCs w:val="24"/>
        </w:rPr>
        <w:t>) ir Švedija (7,5</w:t>
      </w:r>
      <w:r w:rsidR="007F5E31">
        <w:rPr>
          <w:rFonts w:ascii="Times New Roman" w:eastAsiaTheme="minorHAnsi" w:hAnsi="Times New Roman"/>
          <w:sz w:val="24"/>
          <w:szCs w:val="24"/>
        </w:rPr>
        <w:t>4</w:t>
      </w:r>
      <w:r w:rsidRPr="001A16D9">
        <w:rPr>
          <w:rFonts w:ascii="Times New Roman" w:eastAsiaTheme="minorHAnsi" w:hAnsi="Times New Roman"/>
          <w:sz w:val="24"/>
          <w:szCs w:val="24"/>
        </w:rPr>
        <w:t xml:space="preserve"> mln. vnt.).</w:t>
      </w:r>
    </w:p>
    <w:p w:rsidR="00556D65" w:rsidRPr="001A16D9" w:rsidRDefault="00556D65" w:rsidP="002C1DFA">
      <w:pPr>
        <w:spacing w:line="276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2C1DFA" w:rsidRPr="001A16D9" w:rsidRDefault="002C1DFA" w:rsidP="002C1DFA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067F6" w:rsidRPr="001A16D9" w:rsidRDefault="00150CC9" w:rsidP="002067F6">
      <w:pPr>
        <w:jc w:val="right"/>
        <w:rPr>
          <w:rFonts w:ascii="Times New Roman" w:hAnsi="Times New Roman"/>
          <w:sz w:val="24"/>
          <w:szCs w:val="24"/>
        </w:rPr>
      </w:pPr>
      <w:r w:rsidRPr="001A16D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9ED95C7" wp14:editId="74B6D9EB">
            <wp:extent cx="6840220" cy="3602990"/>
            <wp:effectExtent l="0" t="0" r="17780" b="16510"/>
            <wp:docPr id="6" name="Diagra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067F6" w:rsidRPr="001A16D9" w:rsidRDefault="00F10566" w:rsidP="0031741A">
      <w:pPr>
        <w:pStyle w:val="Sraopastraipa"/>
        <w:tabs>
          <w:tab w:val="left" w:pos="1701"/>
        </w:tabs>
        <w:spacing w:line="360" w:lineRule="auto"/>
        <w:ind w:left="0" w:firstLine="851"/>
        <w:jc w:val="right"/>
        <w:rPr>
          <w:lang w:val="lt-LT"/>
        </w:rPr>
      </w:pPr>
      <w:proofErr w:type="spellStart"/>
      <w:r>
        <w:rPr>
          <w:sz w:val="20"/>
          <w:szCs w:val="20"/>
        </w:rPr>
        <w:t>Šaltinis</w:t>
      </w:r>
      <w:proofErr w:type="spellEnd"/>
      <w:r w:rsidR="0031741A" w:rsidRPr="00897C32">
        <w:rPr>
          <w:sz w:val="20"/>
          <w:szCs w:val="20"/>
        </w:rPr>
        <w:t xml:space="preserve"> </w:t>
      </w:r>
      <w:r w:rsidR="0031741A">
        <w:rPr>
          <w:sz w:val="20"/>
          <w:szCs w:val="20"/>
        </w:rPr>
        <w:t>STD</w:t>
      </w:r>
    </w:p>
    <w:p w:rsidR="0061418D" w:rsidRPr="001A16D9" w:rsidRDefault="0031741A" w:rsidP="0031741A">
      <w:pPr>
        <w:pStyle w:val="Sraopastraipa"/>
        <w:tabs>
          <w:tab w:val="left" w:pos="1701"/>
        </w:tabs>
        <w:spacing w:line="360" w:lineRule="auto"/>
        <w:ind w:left="0"/>
        <w:jc w:val="both"/>
        <w:rPr>
          <w:lang w:val="lt-LT"/>
        </w:rPr>
      </w:pPr>
      <w:r>
        <w:rPr>
          <w:lang w:val="lt-LT"/>
        </w:rPr>
        <w:t>Lietuvos statistikos departamento duomenimis, k</w:t>
      </w:r>
      <w:r w:rsidR="0061418D" w:rsidRPr="001A16D9">
        <w:rPr>
          <w:lang w:val="lt-LT"/>
        </w:rPr>
        <w:t>iaušinių eksporta</w:t>
      </w:r>
      <w:r w:rsidR="00150CC9" w:rsidRPr="001A16D9">
        <w:rPr>
          <w:lang w:val="lt-LT"/>
        </w:rPr>
        <w:t>s 2019 m. I ketvirtį sudarė 49</w:t>
      </w:r>
      <w:r w:rsidR="0061418D" w:rsidRPr="001A16D9">
        <w:rPr>
          <w:lang w:val="lt-LT"/>
        </w:rPr>
        <w:t>,1</w:t>
      </w:r>
      <w:r w:rsidR="007F5E31">
        <w:rPr>
          <w:lang w:val="lt-LT"/>
        </w:rPr>
        <w:t>1</w:t>
      </w:r>
      <w:r w:rsidR="0061418D" w:rsidRPr="001A16D9">
        <w:rPr>
          <w:lang w:val="lt-LT"/>
        </w:rPr>
        <w:t xml:space="preserve"> mln. vnt. ir, palyginti su 2018 m. IV ketvirčiu, padidėjo</w:t>
      </w:r>
      <w:r w:rsidR="00150CC9" w:rsidRPr="001A16D9">
        <w:rPr>
          <w:lang w:val="lt-LT"/>
        </w:rPr>
        <w:t xml:space="preserve"> 39</w:t>
      </w:r>
      <w:r w:rsidR="0061418D" w:rsidRPr="001A16D9">
        <w:rPr>
          <w:lang w:val="lt-LT"/>
        </w:rPr>
        <w:t>,</w:t>
      </w:r>
      <w:r w:rsidR="00150CC9" w:rsidRPr="001A16D9">
        <w:rPr>
          <w:lang w:val="lt-LT"/>
        </w:rPr>
        <w:t xml:space="preserve">1 </w:t>
      </w:r>
      <w:r w:rsidR="0061418D" w:rsidRPr="001A16D9">
        <w:rPr>
          <w:lang w:val="lt-LT"/>
        </w:rPr>
        <w:t>proc., o</w:t>
      </w:r>
      <w:r w:rsidR="00A72257">
        <w:rPr>
          <w:lang w:val="lt-LT"/>
        </w:rPr>
        <w:t>,</w:t>
      </w:r>
      <w:r w:rsidR="0061418D" w:rsidRPr="001A16D9">
        <w:rPr>
          <w:lang w:val="lt-LT"/>
        </w:rPr>
        <w:t xml:space="preserve"> palyginti su 2018 m. I ketvirčiu</w:t>
      </w:r>
      <w:r w:rsidR="00A72257">
        <w:rPr>
          <w:lang w:val="lt-LT"/>
        </w:rPr>
        <w:t>,</w:t>
      </w:r>
      <w:r w:rsidR="0061418D" w:rsidRPr="001A16D9">
        <w:rPr>
          <w:lang w:val="lt-LT"/>
        </w:rPr>
        <w:t xml:space="preserve"> – </w:t>
      </w:r>
      <w:r w:rsidR="00150CC9" w:rsidRPr="001A16D9">
        <w:rPr>
          <w:lang w:val="lt-LT"/>
        </w:rPr>
        <w:t>17,9</w:t>
      </w:r>
      <w:r w:rsidR="0061418D" w:rsidRPr="001A16D9">
        <w:rPr>
          <w:lang w:val="lt-LT"/>
        </w:rPr>
        <w:t xml:space="preserve"> proc. Kiauš</w:t>
      </w:r>
      <w:r w:rsidR="006F1D28" w:rsidRPr="001A16D9">
        <w:rPr>
          <w:lang w:val="lt-LT"/>
        </w:rPr>
        <w:t>i</w:t>
      </w:r>
      <w:r w:rsidR="00D07E3C" w:rsidRPr="001A16D9">
        <w:rPr>
          <w:lang w:val="lt-LT"/>
        </w:rPr>
        <w:t xml:space="preserve">nių </w:t>
      </w:r>
      <w:r w:rsidR="00D07E3C" w:rsidRPr="001A16D9">
        <w:rPr>
          <w:lang w:val="lt-LT"/>
        </w:rPr>
        <w:lastRenderedPageBreak/>
        <w:t>e</w:t>
      </w:r>
      <w:r w:rsidR="0061418D" w:rsidRPr="001A16D9">
        <w:rPr>
          <w:lang w:val="lt-LT"/>
        </w:rPr>
        <w:t>k</w:t>
      </w:r>
      <w:r w:rsidR="00D07E3C" w:rsidRPr="001A16D9">
        <w:rPr>
          <w:lang w:val="lt-LT"/>
        </w:rPr>
        <w:t>s</w:t>
      </w:r>
      <w:r w:rsidR="0061418D" w:rsidRPr="001A16D9">
        <w:rPr>
          <w:lang w:val="lt-LT"/>
        </w:rPr>
        <w:t xml:space="preserve">porto vertė analizuojamu laikotarpiu sudarė </w:t>
      </w:r>
      <w:r w:rsidR="00150CC9" w:rsidRPr="001A16D9">
        <w:rPr>
          <w:lang w:val="lt-LT"/>
        </w:rPr>
        <w:t>2</w:t>
      </w:r>
      <w:r w:rsidR="007F5E31">
        <w:rPr>
          <w:lang w:val="lt-LT"/>
        </w:rPr>
        <w:t xml:space="preserve"> </w:t>
      </w:r>
      <w:r w:rsidR="00150CC9" w:rsidRPr="001A16D9">
        <w:rPr>
          <w:lang w:val="lt-LT"/>
        </w:rPr>
        <w:t>897,192</w:t>
      </w:r>
      <w:r w:rsidR="0061418D" w:rsidRPr="001A16D9">
        <w:rPr>
          <w:lang w:val="lt-LT"/>
        </w:rPr>
        <w:t xml:space="preserve"> tūkst. EUR</w:t>
      </w:r>
      <w:r w:rsidR="006F1D28" w:rsidRPr="001A16D9">
        <w:rPr>
          <w:lang w:val="lt-LT"/>
        </w:rPr>
        <w:t xml:space="preserve"> ir buvo </w:t>
      </w:r>
      <w:r w:rsidR="00150CC9" w:rsidRPr="001A16D9">
        <w:rPr>
          <w:lang w:val="lt-LT"/>
        </w:rPr>
        <w:t>28,7</w:t>
      </w:r>
      <w:r w:rsidR="006F1D28" w:rsidRPr="001A16D9">
        <w:rPr>
          <w:lang w:val="lt-LT"/>
        </w:rPr>
        <w:t xml:space="preserve"> proc. </w:t>
      </w:r>
      <w:r w:rsidR="00150CC9" w:rsidRPr="001A16D9">
        <w:rPr>
          <w:lang w:val="lt-LT"/>
        </w:rPr>
        <w:t>did</w:t>
      </w:r>
      <w:r w:rsidR="006F1D28" w:rsidRPr="001A16D9">
        <w:rPr>
          <w:lang w:val="lt-LT"/>
        </w:rPr>
        <w:t xml:space="preserve">esnė nei </w:t>
      </w:r>
      <w:r w:rsidR="00150CC9" w:rsidRPr="001A16D9">
        <w:rPr>
          <w:lang w:val="lt-LT"/>
        </w:rPr>
        <w:t>2018 m. IV ketvirtį, tačiau 4,4 proc. mažesnė nei prieš metus.</w:t>
      </w:r>
    </w:p>
    <w:p w:rsidR="008648D0" w:rsidRDefault="00150CC9" w:rsidP="00861FFD">
      <w:pPr>
        <w:pStyle w:val="Sraopastraipa"/>
        <w:tabs>
          <w:tab w:val="left" w:pos="1701"/>
        </w:tabs>
        <w:spacing w:line="360" w:lineRule="auto"/>
        <w:ind w:left="0" w:firstLine="851"/>
        <w:jc w:val="both"/>
        <w:rPr>
          <w:lang w:val="lt-LT"/>
        </w:rPr>
      </w:pPr>
      <w:r w:rsidRPr="001A16D9">
        <w:rPr>
          <w:lang w:val="lt-LT"/>
        </w:rPr>
        <w:t>P</w:t>
      </w:r>
      <w:r w:rsidR="0032782A" w:rsidRPr="001A16D9">
        <w:rPr>
          <w:lang w:val="lt-LT"/>
        </w:rPr>
        <w:t>a</w:t>
      </w:r>
      <w:r w:rsidRPr="001A16D9">
        <w:rPr>
          <w:lang w:val="lt-LT"/>
        </w:rPr>
        <w:t>didėjęs kiaušinių eksportas iš dalies kompensavo sumažėjusias kiauš</w:t>
      </w:r>
      <w:r w:rsidR="00D07E3C" w:rsidRPr="001A16D9">
        <w:rPr>
          <w:lang w:val="lt-LT"/>
        </w:rPr>
        <w:t>i</w:t>
      </w:r>
      <w:r w:rsidRPr="001A16D9">
        <w:rPr>
          <w:lang w:val="lt-LT"/>
        </w:rPr>
        <w:t>nių pardavimo vidaus rinkoje apimtis 2019 m. I ketvirtį, tačiau prognozuojama, kad dėl sezoniškumo išaug</w:t>
      </w:r>
      <w:r w:rsidR="000054EB" w:rsidRPr="001A16D9">
        <w:rPr>
          <w:lang w:val="lt-LT"/>
        </w:rPr>
        <w:t>u</w:t>
      </w:r>
      <w:r w:rsidRPr="001A16D9">
        <w:rPr>
          <w:lang w:val="lt-LT"/>
        </w:rPr>
        <w:t>s kiaušinių gavybai Lietu</w:t>
      </w:r>
      <w:r w:rsidR="00D07E3C" w:rsidRPr="001A16D9">
        <w:rPr>
          <w:lang w:val="lt-LT"/>
        </w:rPr>
        <w:t>voje ir kaimyninėse šalyse did</w:t>
      </w:r>
      <w:r w:rsidRPr="001A16D9">
        <w:rPr>
          <w:lang w:val="lt-LT"/>
        </w:rPr>
        <w:t>m</w:t>
      </w:r>
      <w:r w:rsidR="00D07E3C" w:rsidRPr="001A16D9">
        <w:rPr>
          <w:lang w:val="lt-LT"/>
        </w:rPr>
        <w:t>e</w:t>
      </w:r>
      <w:r w:rsidRPr="001A16D9">
        <w:rPr>
          <w:lang w:val="lt-LT"/>
        </w:rPr>
        <w:t xml:space="preserve">ninės kiaušinių kainos turėtų šiek tiek sumažėti. </w:t>
      </w:r>
    </w:p>
    <w:p w:rsidR="008F1A2E" w:rsidRDefault="008648D0" w:rsidP="00861FFD">
      <w:pPr>
        <w:pStyle w:val="Sraopastraipa"/>
        <w:tabs>
          <w:tab w:val="left" w:pos="1701"/>
        </w:tabs>
        <w:spacing w:line="360" w:lineRule="auto"/>
        <w:ind w:left="0" w:firstLine="851"/>
        <w:jc w:val="both"/>
        <w:rPr>
          <w:lang w:val="lt-LT"/>
        </w:rPr>
      </w:pPr>
      <w:r>
        <w:rPr>
          <w:lang w:val="lt-LT"/>
        </w:rPr>
        <w:t>E</w:t>
      </w:r>
      <w:r w:rsidR="00897C32">
        <w:rPr>
          <w:lang w:val="lt-LT"/>
        </w:rPr>
        <w:t>urostat</w:t>
      </w:r>
      <w:r w:rsidR="00A72257">
        <w:rPr>
          <w:lang w:val="lt-LT"/>
        </w:rPr>
        <w:t>o</w:t>
      </w:r>
      <w:r w:rsidR="00897C32">
        <w:rPr>
          <w:lang w:val="lt-LT"/>
        </w:rPr>
        <w:t xml:space="preserve"> duomenimis, </w:t>
      </w:r>
      <w:r>
        <w:rPr>
          <w:lang w:val="lt-LT"/>
        </w:rPr>
        <w:t>2019 m. I ketvirtį vidutinė</w:t>
      </w:r>
      <w:r w:rsidR="001C75ED">
        <w:rPr>
          <w:lang w:val="lt-LT"/>
        </w:rPr>
        <w:t>s</w:t>
      </w:r>
      <w:r>
        <w:rPr>
          <w:lang w:val="lt-LT"/>
        </w:rPr>
        <w:t xml:space="preserve"> (L</w:t>
      </w:r>
      <w:r w:rsidR="00A72257">
        <w:rPr>
          <w:lang w:val="lt-LT"/>
        </w:rPr>
        <w:t>–</w:t>
      </w:r>
      <w:r>
        <w:rPr>
          <w:lang w:val="lt-LT"/>
        </w:rPr>
        <w:t>M kat.)</w:t>
      </w:r>
      <w:r w:rsidR="007F5E31">
        <w:rPr>
          <w:lang w:val="lt-LT"/>
        </w:rPr>
        <w:t xml:space="preserve"> didmeninės</w:t>
      </w:r>
      <w:r>
        <w:rPr>
          <w:lang w:val="lt-LT"/>
        </w:rPr>
        <w:t xml:space="preserve"> šviežių supakuotų kiauš</w:t>
      </w:r>
      <w:r w:rsidR="001C75ED">
        <w:rPr>
          <w:lang w:val="lt-LT"/>
        </w:rPr>
        <w:t>inių kainos</w:t>
      </w:r>
      <w:r>
        <w:rPr>
          <w:lang w:val="lt-LT"/>
        </w:rPr>
        <w:t xml:space="preserve"> ES šalyse buvo 3,0 proc. mažesnė</w:t>
      </w:r>
      <w:r w:rsidR="001C75ED">
        <w:rPr>
          <w:lang w:val="lt-LT"/>
        </w:rPr>
        <w:t>s</w:t>
      </w:r>
      <w:r>
        <w:rPr>
          <w:lang w:val="lt-LT"/>
        </w:rPr>
        <w:t xml:space="preserve"> nei </w:t>
      </w:r>
      <w:r w:rsidR="001C75ED">
        <w:rPr>
          <w:lang w:val="lt-LT"/>
        </w:rPr>
        <w:t xml:space="preserve"> 2018 m. IV ketvirtį, tačiau mažmeninės kainos išliko stabilios.</w:t>
      </w:r>
      <w:r w:rsidR="00EC228D">
        <w:rPr>
          <w:lang w:val="lt-LT"/>
        </w:rPr>
        <w:t xml:space="preserve"> Prognozuojama, kad kiaušinių gavyba iš viso ES šalyse 2019 m. turėtų padidėti 1,5 proc., o maistui skirtų kiaušinių gavyba – 1,6 proc. </w:t>
      </w:r>
    </w:p>
    <w:p w:rsidR="00281E7B" w:rsidRPr="001A16D9" w:rsidRDefault="008F1A2E" w:rsidP="008F1A2E">
      <w:pPr>
        <w:pStyle w:val="Sraopastraipa"/>
        <w:tabs>
          <w:tab w:val="left" w:pos="1701"/>
        </w:tabs>
        <w:spacing w:line="360" w:lineRule="auto"/>
        <w:ind w:left="0" w:firstLine="851"/>
        <w:jc w:val="both"/>
        <w:rPr>
          <w:b/>
          <w:bCs/>
          <w:color w:val="000000"/>
          <w:lang w:eastAsia="lt-LT"/>
        </w:rPr>
      </w:pPr>
      <w:r>
        <w:rPr>
          <w:lang w:val="lt-LT"/>
        </w:rPr>
        <w:t>2019 m. sausio–vasario mėn. importas į ES  iš trečiųjų šalių sumažėjo 59,4 proc. Labiausiai šiuo laikotarpiu sumažėjo importas  JAV(</w:t>
      </w:r>
      <w:r w:rsidR="00A72257">
        <w:rPr>
          <w:lang w:val="lt-LT"/>
        </w:rPr>
        <w:t>-</w:t>
      </w:r>
      <w:r>
        <w:rPr>
          <w:lang w:val="lt-LT"/>
        </w:rPr>
        <w:t>84</w:t>
      </w:r>
      <w:r w:rsidR="006A7ACF">
        <w:rPr>
          <w:lang w:val="lt-LT"/>
        </w:rPr>
        <w:t>,0</w:t>
      </w:r>
      <w:r>
        <w:rPr>
          <w:lang w:val="lt-LT"/>
        </w:rPr>
        <w:t xml:space="preserve"> proc.), Albanijos (</w:t>
      </w:r>
      <w:r w:rsidR="00A72257">
        <w:rPr>
          <w:lang w:val="lt-LT"/>
        </w:rPr>
        <w:t>-</w:t>
      </w:r>
      <w:r>
        <w:rPr>
          <w:lang w:val="lt-LT"/>
        </w:rPr>
        <w:t>69</w:t>
      </w:r>
      <w:r w:rsidR="006A7ACF">
        <w:rPr>
          <w:lang w:val="lt-LT"/>
        </w:rPr>
        <w:t>,0</w:t>
      </w:r>
      <w:r>
        <w:rPr>
          <w:lang w:val="lt-LT"/>
        </w:rPr>
        <w:t xml:space="preserve"> proc.), Argentinos (</w:t>
      </w:r>
      <w:r w:rsidR="00A72257">
        <w:rPr>
          <w:lang w:val="lt-LT"/>
        </w:rPr>
        <w:t>-</w:t>
      </w:r>
      <w:r>
        <w:rPr>
          <w:lang w:val="lt-LT"/>
        </w:rPr>
        <w:t>68</w:t>
      </w:r>
      <w:r w:rsidR="006A7ACF">
        <w:rPr>
          <w:lang w:val="lt-LT"/>
        </w:rPr>
        <w:t>,0</w:t>
      </w:r>
      <w:r>
        <w:rPr>
          <w:lang w:val="lt-LT"/>
        </w:rPr>
        <w:t xml:space="preserve"> proc.) ir  Ukrainos (</w:t>
      </w:r>
      <w:r w:rsidR="00A72257">
        <w:rPr>
          <w:lang w:val="lt-LT"/>
        </w:rPr>
        <w:t>-</w:t>
      </w:r>
      <w:r>
        <w:rPr>
          <w:lang w:val="lt-LT"/>
        </w:rPr>
        <w:t>23,2 proc.). Kiaušinių eksportas ES 2019 m. sausio</w:t>
      </w:r>
      <w:r w:rsidR="00A72257">
        <w:rPr>
          <w:lang w:val="lt-LT"/>
        </w:rPr>
        <w:t>–</w:t>
      </w:r>
      <w:r>
        <w:rPr>
          <w:lang w:val="lt-LT"/>
        </w:rPr>
        <w:t xml:space="preserve">vasario mėn. padidėjo 33,4 proc. </w:t>
      </w:r>
      <w:r w:rsidR="006A7ACF">
        <w:rPr>
          <w:lang w:val="lt-LT"/>
        </w:rPr>
        <w:t>Daugiausia kiaušinių eksportuota į Japoniją – 37,6 proc. daugiau nei prieš metus.</w:t>
      </w:r>
    </w:p>
    <w:p w:rsidR="002D54D3" w:rsidRPr="001A16D9" w:rsidRDefault="002D54D3" w:rsidP="00D9300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E2FEF" w:rsidRPr="001A16D9" w:rsidRDefault="001E2FEF" w:rsidP="00680698">
      <w:pPr>
        <w:spacing w:after="0" w:line="360" w:lineRule="auto"/>
        <w:ind w:firstLine="1134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056203" w:rsidRPr="001A16D9" w:rsidRDefault="00056203">
      <w:pPr>
        <w:rPr>
          <w:rFonts w:ascii="Times New Roman" w:hAnsi="Times New Roman"/>
          <w:b/>
          <w:sz w:val="24"/>
          <w:szCs w:val="24"/>
        </w:rPr>
      </w:pPr>
      <w:r w:rsidRPr="001A16D9">
        <w:rPr>
          <w:rFonts w:ascii="Times New Roman" w:hAnsi="Times New Roman"/>
          <w:b/>
          <w:sz w:val="24"/>
          <w:szCs w:val="24"/>
        </w:rPr>
        <w:t>IŠVADOS</w:t>
      </w:r>
    </w:p>
    <w:p w:rsidR="00056203" w:rsidRPr="001A16D9" w:rsidRDefault="00056203">
      <w:pPr>
        <w:rPr>
          <w:rFonts w:ascii="Times New Roman" w:hAnsi="Times New Roman"/>
          <w:sz w:val="24"/>
          <w:szCs w:val="24"/>
        </w:rPr>
      </w:pPr>
    </w:p>
    <w:p w:rsidR="00C71D49" w:rsidRPr="001A16D9" w:rsidRDefault="00C71D49" w:rsidP="001E2FEF">
      <w:pPr>
        <w:pStyle w:val="Sraopastraipa"/>
        <w:numPr>
          <w:ilvl w:val="0"/>
          <w:numId w:val="6"/>
        </w:numPr>
        <w:spacing w:line="360" w:lineRule="auto"/>
        <w:ind w:left="-142" w:firstLine="993"/>
        <w:jc w:val="both"/>
        <w:rPr>
          <w:lang w:val="lt-LT"/>
        </w:rPr>
      </w:pPr>
      <w:r w:rsidRPr="001A16D9">
        <w:rPr>
          <w:lang w:val="lt-LT"/>
        </w:rPr>
        <w:t>2019 m. I ketvirtį</w:t>
      </w:r>
      <w:r w:rsidR="00EF0D57" w:rsidRPr="001A16D9">
        <w:rPr>
          <w:lang w:val="lt-LT"/>
        </w:rPr>
        <w:t>, palyginti su 2018 m.</w:t>
      </w:r>
      <w:r w:rsidR="0032782A" w:rsidRPr="001A16D9">
        <w:rPr>
          <w:lang w:val="lt-LT"/>
        </w:rPr>
        <w:t xml:space="preserve"> IV ketvirčiu</w:t>
      </w:r>
      <w:r w:rsidR="00EF0D57" w:rsidRPr="001A16D9">
        <w:rPr>
          <w:lang w:val="lt-LT"/>
        </w:rPr>
        <w:t xml:space="preserve">, </w:t>
      </w:r>
      <w:r w:rsidRPr="001A16D9">
        <w:rPr>
          <w:lang w:val="lt-LT"/>
        </w:rPr>
        <w:t xml:space="preserve"> </w:t>
      </w:r>
      <w:r w:rsidR="0032782A" w:rsidRPr="001A16D9">
        <w:rPr>
          <w:lang w:val="lt-LT"/>
        </w:rPr>
        <w:t>L ir M kat</w:t>
      </w:r>
      <w:r w:rsidR="00A72257">
        <w:rPr>
          <w:lang w:val="lt-LT"/>
        </w:rPr>
        <w:t>.</w:t>
      </w:r>
      <w:r w:rsidR="0032782A" w:rsidRPr="001A16D9">
        <w:rPr>
          <w:lang w:val="lt-LT"/>
        </w:rPr>
        <w:t xml:space="preserve"> kiaušinių kainų grandinėse</w:t>
      </w:r>
      <w:r w:rsidRPr="001A16D9">
        <w:rPr>
          <w:lang w:val="lt-LT"/>
        </w:rPr>
        <w:t xml:space="preserve"> mažmeninės prekybos dalis </w:t>
      </w:r>
      <w:r w:rsidR="0032782A" w:rsidRPr="001A16D9">
        <w:rPr>
          <w:lang w:val="lt-LT"/>
        </w:rPr>
        <w:t>padid</w:t>
      </w:r>
      <w:r w:rsidR="00D93000" w:rsidRPr="001A16D9">
        <w:rPr>
          <w:lang w:val="lt-LT"/>
        </w:rPr>
        <w:t xml:space="preserve">ėjo </w:t>
      </w:r>
      <w:r w:rsidR="0032782A" w:rsidRPr="001A16D9">
        <w:rPr>
          <w:lang w:val="lt-LT"/>
        </w:rPr>
        <w:t xml:space="preserve"> 5,6–9,2 </w:t>
      </w:r>
      <w:r w:rsidR="00EF0D57" w:rsidRPr="001A16D9">
        <w:rPr>
          <w:lang w:val="lt-LT"/>
        </w:rPr>
        <w:t>proc.</w:t>
      </w:r>
      <w:r w:rsidRPr="001A16D9">
        <w:rPr>
          <w:lang w:val="lt-LT"/>
        </w:rPr>
        <w:t xml:space="preserve">, o </w:t>
      </w:r>
      <w:r w:rsidR="00D93000" w:rsidRPr="001A16D9">
        <w:rPr>
          <w:lang w:val="lt-LT"/>
        </w:rPr>
        <w:t>gamintojų</w:t>
      </w:r>
      <w:r w:rsidRPr="001A16D9">
        <w:rPr>
          <w:lang w:val="lt-LT"/>
        </w:rPr>
        <w:t xml:space="preserve"> </w:t>
      </w:r>
      <w:r w:rsidR="00A72257">
        <w:rPr>
          <w:lang w:val="lt-LT"/>
        </w:rPr>
        <w:t>dalis</w:t>
      </w:r>
      <w:r w:rsidR="00D93000" w:rsidRPr="001A16D9">
        <w:rPr>
          <w:lang w:val="lt-LT"/>
        </w:rPr>
        <w:t xml:space="preserve"> </w:t>
      </w:r>
      <w:r w:rsidR="0032782A" w:rsidRPr="001A16D9">
        <w:rPr>
          <w:lang w:val="lt-LT"/>
        </w:rPr>
        <w:t>sumaž</w:t>
      </w:r>
      <w:r w:rsidR="00EF0D57" w:rsidRPr="001A16D9">
        <w:rPr>
          <w:lang w:val="lt-LT"/>
        </w:rPr>
        <w:t xml:space="preserve">ėjo </w:t>
      </w:r>
      <w:r w:rsidR="0032782A" w:rsidRPr="001A16D9">
        <w:rPr>
          <w:lang w:val="lt-LT"/>
        </w:rPr>
        <w:t>4,3–7,5</w:t>
      </w:r>
      <w:r w:rsidRPr="001A16D9">
        <w:rPr>
          <w:lang w:val="lt-LT"/>
        </w:rPr>
        <w:t xml:space="preserve"> proc.</w:t>
      </w:r>
      <w:r w:rsidR="0032782A" w:rsidRPr="001A16D9">
        <w:rPr>
          <w:lang w:val="lt-LT"/>
        </w:rPr>
        <w:t xml:space="preserve"> La</w:t>
      </w:r>
      <w:r w:rsidR="000054EB" w:rsidRPr="001A16D9">
        <w:rPr>
          <w:lang w:val="lt-LT"/>
        </w:rPr>
        <w:t>biau didėjo pigesnių M kat. ki</w:t>
      </w:r>
      <w:r w:rsidR="0032782A" w:rsidRPr="001A16D9">
        <w:rPr>
          <w:lang w:val="lt-LT"/>
        </w:rPr>
        <w:t>a</w:t>
      </w:r>
      <w:r w:rsidR="000054EB" w:rsidRPr="001A16D9">
        <w:rPr>
          <w:lang w:val="lt-LT"/>
        </w:rPr>
        <w:t>u</w:t>
      </w:r>
      <w:r w:rsidR="0032782A" w:rsidRPr="001A16D9">
        <w:rPr>
          <w:lang w:val="lt-LT"/>
        </w:rPr>
        <w:t>š</w:t>
      </w:r>
      <w:r w:rsidR="000054EB" w:rsidRPr="001A16D9">
        <w:rPr>
          <w:lang w:val="lt-LT"/>
        </w:rPr>
        <w:t>i</w:t>
      </w:r>
      <w:r w:rsidR="0032782A" w:rsidRPr="001A16D9">
        <w:rPr>
          <w:lang w:val="lt-LT"/>
        </w:rPr>
        <w:t>nių mažmeninė kaina</w:t>
      </w:r>
      <w:r w:rsidR="00A72257">
        <w:rPr>
          <w:lang w:val="lt-LT"/>
        </w:rPr>
        <w:t>.</w:t>
      </w:r>
    </w:p>
    <w:p w:rsidR="00C62B05" w:rsidRPr="001A16D9" w:rsidRDefault="00C71D49" w:rsidP="00E22B58">
      <w:pPr>
        <w:pStyle w:val="Sraopastraipa"/>
        <w:numPr>
          <w:ilvl w:val="0"/>
          <w:numId w:val="6"/>
        </w:numPr>
        <w:spacing w:line="360" w:lineRule="auto"/>
        <w:ind w:left="0" w:firstLine="851"/>
        <w:jc w:val="both"/>
        <w:rPr>
          <w:lang w:val="lt-LT"/>
        </w:rPr>
      </w:pPr>
      <w:r w:rsidRPr="001A16D9">
        <w:rPr>
          <w:lang w:val="lt-LT"/>
        </w:rPr>
        <w:t xml:space="preserve">Analizuojamu laikotarpiu </w:t>
      </w:r>
      <w:r w:rsidR="00C62B05" w:rsidRPr="001A16D9">
        <w:rPr>
          <w:lang w:val="lt-LT"/>
        </w:rPr>
        <w:t>did</w:t>
      </w:r>
      <w:r w:rsidR="0032782A" w:rsidRPr="001A16D9">
        <w:rPr>
          <w:lang w:val="lt-LT"/>
        </w:rPr>
        <w:t>m</w:t>
      </w:r>
      <w:r w:rsidR="00C62B05" w:rsidRPr="001A16D9">
        <w:rPr>
          <w:lang w:val="lt-LT"/>
        </w:rPr>
        <w:t>e</w:t>
      </w:r>
      <w:r w:rsidR="0032782A" w:rsidRPr="001A16D9">
        <w:rPr>
          <w:lang w:val="lt-LT"/>
        </w:rPr>
        <w:t xml:space="preserve">ninės gamintojų L ir M kat. kainos </w:t>
      </w:r>
      <w:r w:rsidR="00604929" w:rsidRPr="001A16D9">
        <w:rPr>
          <w:lang w:val="lt-LT"/>
        </w:rPr>
        <w:t xml:space="preserve"> </w:t>
      </w:r>
      <w:r w:rsidR="00036906" w:rsidRPr="001A16D9">
        <w:rPr>
          <w:lang w:val="lt-LT"/>
        </w:rPr>
        <w:t xml:space="preserve">Lietuvoje </w:t>
      </w:r>
      <w:r w:rsidR="0032782A" w:rsidRPr="001A16D9">
        <w:rPr>
          <w:lang w:val="lt-LT"/>
        </w:rPr>
        <w:t>maž</w:t>
      </w:r>
      <w:r w:rsidRPr="001A16D9">
        <w:rPr>
          <w:lang w:val="lt-LT"/>
        </w:rPr>
        <w:t xml:space="preserve">ėjo. Tam įtakos galėjo turėti </w:t>
      </w:r>
      <w:r w:rsidR="00C62B05" w:rsidRPr="001A16D9">
        <w:rPr>
          <w:lang w:val="lt-LT"/>
        </w:rPr>
        <w:t>padidėjęs kiaušinių importas bei sumažėję pardavimai vidaus rinkoje. Sumažėjusias pardavimo vidaus rinkoje apimtis iš dalies kompensavo išaugusi paklausa eksporto rinkose.</w:t>
      </w:r>
    </w:p>
    <w:p w:rsidR="00604929" w:rsidRPr="001A16D9" w:rsidRDefault="00B90914" w:rsidP="00E22B58">
      <w:pPr>
        <w:pStyle w:val="Sraopastraipa"/>
        <w:numPr>
          <w:ilvl w:val="0"/>
          <w:numId w:val="6"/>
        </w:numPr>
        <w:spacing w:line="360" w:lineRule="auto"/>
        <w:ind w:left="0" w:firstLine="851"/>
        <w:jc w:val="both"/>
        <w:rPr>
          <w:lang w:val="lt-LT"/>
        </w:rPr>
      </w:pPr>
      <w:r w:rsidRPr="001A16D9">
        <w:rPr>
          <w:noProof/>
          <w:lang w:val="lt-LT"/>
        </w:rPr>
        <w:t xml:space="preserve">2019 m. ketvirtį, palyginti su 2018 m. tuo pačiu laikotarpiu, </w:t>
      </w:r>
      <w:r w:rsidR="00C62B05" w:rsidRPr="001A16D9">
        <w:rPr>
          <w:noProof/>
          <w:lang w:val="lt-LT"/>
        </w:rPr>
        <w:t>L kat. kiaušnių</w:t>
      </w:r>
      <w:r w:rsidRPr="001A16D9">
        <w:rPr>
          <w:noProof/>
          <w:lang w:val="lt-LT"/>
        </w:rPr>
        <w:t xml:space="preserve"> </w:t>
      </w:r>
      <w:r w:rsidR="00D60B57" w:rsidRPr="001A16D9">
        <w:rPr>
          <w:noProof/>
          <w:lang w:val="lt-LT"/>
        </w:rPr>
        <w:t xml:space="preserve"> </w:t>
      </w:r>
      <w:r w:rsidRPr="001A16D9">
        <w:rPr>
          <w:noProof/>
          <w:lang w:val="lt-LT"/>
        </w:rPr>
        <w:t xml:space="preserve">pardavimas vidaus rinkoje sumažėjo </w:t>
      </w:r>
      <w:r w:rsidR="00C62B05" w:rsidRPr="001A16D9">
        <w:rPr>
          <w:noProof/>
          <w:lang w:val="lt-LT"/>
        </w:rPr>
        <w:t xml:space="preserve">12,6 proc., o M kat. </w:t>
      </w:r>
      <w:r w:rsidR="00C62B05" w:rsidRPr="001A16D9">
        <w:rPr>
          <w:lang w:val="lt-LT"/>
        </w:rPr>
        <w:t>– 8,6 proc.</w:t>
      </w:r>
    </w:p>
    <w:p w:rsidR="004476E2" w:rsidRPr="001A16D9" w:rsidRDefault="00C62B05" w:rsidP="00D5000A">
      <w:pPr>
        <w:pStyle w:val="Sraopastraipa"/>
        <w:numPr>
          <w:ilvl w:val="0"/>
          <w:numId w:val="6"/>
        </w:numPr>
        <w:spacing w:line="360" w:lineRule="auto"/>
        <w:ind w:left="0" w:firstLine="851"/>
        <w:jc w:val="both"/>
        <w:rPr>
          <w:lang w:val="lt-LT"/>
        </w:rPr>
      </w:pPr>
      <w:r w:rsidRPr="001A16D9">
        <w:rPr>
          <w:noProof/>
          <w:lang w:val="lt-LT"/>
        </w:rPr>
        <w:t xml:space="preserve">Mažmeninių šviežių supakuotų L ir M </w:t>
      </w:r>
      <w:r w:rsidR="00DC1A09">
        <w:rPr>
          <w:noProof/>
          <w:lang w:val="lt-LT"/>
        </w:rPr>
        <w:t>kat. k</w:t>
      </w:r>
      <w:r w:rsidRPr="001A16D9">
        <w:rPr>
          <w:noProof/>
          <w:lang w:val="lt-LT"/>
        </w:rPr>
        <w:t>iauš</w:t>
      </w:r>
      <w:r w:rsidR="00A72257">
        <w:rPr>
          <w:noProof/>
          <w:lang w:val="lt-LT"/>
        </w:rPr>
        <w:t>i</w:t>
      </w:r>
      <w:r w:rsidRPr="001A16D9">
        <w:rPr>
          <w:noProof/>
          <w:lang w:val="lt-LT"/>
        </w:rPr>
        <w:t>nių kainų padidėjimui galėjo turėti įtakos padidėjusios kainos kaimyninės šalyse.</w:t>
      </w:r>
    </w:p>
    <w:p w:rsidR="00EC6CCB" w:rsidRPr="001A16D9" w:rsidRDefault="00C62B05" w:rsidP="00B90914">
      <w:pPr>
        <w:pStyle w:val="Sraopastraipa"/>
        <w:numPr>
          <w:ilvl w:val="0"/>
          <w:numId w:val="6"/>
        </w:numPr>
        <w:spacing w:line="360" w:lineRule="auto"/>
        <w:ind w:left="0" w:firstLine="851"/>
        <w:jc w:val="both"/>
        <w:rPr>
          <w:lang w:val="lt-LT"/>
        </w:rPr>
      </w:pPr>
      <w:r w:rsidRPr="001A16D9">
        <w:rPr>
          <w:lang w:val="lt-LT"/>
        </w:rPr>
        <w:t>Dėl sezoniškumo išaugus kiaušinių pasiūlai artimiausiu laikotarpiu</w:t>
      </w:r>
      <w:r w:rsidR="000054EB" w:rsidRPr="001A16D9">
        <w:rPr>
          <w:lang w:val="lt-LT"/>
        </w:rPr>
        <w:t xml:space="preserve"> vidutinės L ir M kat. </w:t>
      </w:r>
      <w:r w:rsidRPr="001A16D9">
        <w:rPr>
          <w:lang w:val="lt-LT"/>
        </w:rPr>
        <w:t>kiaušinių kainos turėtų sumažėti.</w:t>
      </w:r>
    </w:p>
    <w:sectPr w:rsidR="00EC6CCB" w:rsidRPr="001A16D9" w:rsidSect="009418A4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2CFC"/>
    <w:multiLevelType w:val="hybridMultilevel"/>
    <w:tmpl w:val="B56A109C"/>
    <w:lvl w:ilvl="0" w:tplc="3EEEAAA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DC9674E"/>
    <w:multiLevelType w:val="hybridMultilevel"/>
    <w:tmpl w:val="AFEEAE0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F300A"/>
    <w:multiLevelType w:val="hybridMultilevel"/>
    <w:tmpl w:val="9D00B112"/>
    <w:lvl w:ilvl="0" w:tplc="5EE04AE4">
      <w:start w:val="2019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1135E"/>
    <w:multiLevelType w:val="hybridMultilevel"/>
    <w:tmpl w:val="988A8C4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0563B"/>
    <w:multiLevelType w:val="hybridMultilevel"/>
    <w:tmpl w:val="760C05D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A03E8"/>
    <w:multiLevelType w:val="hybridMultilevel"/>
    <w:tmpl w:val="2170348A"/>
    <w:lvl w:ilvl="0" w:tplc="0427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FD"/>
    <w:rsid w:val="0000383E"/>
    <w:rsid w:val="000054EB"/>
    <w:rsid w:val="000155F4"/>
    <w:rsid w:val="0002430C"/>
    <w:rsid w:val="00036906"/>
    <w:rsid w:val="00046118"/>
    <w:rsid w:val="00056203"/>
    <w:rsid w:val="000923A2"/>
    <w:rsid w:val="000A7521"/>
    <w:rsid w:val="000C3B51"/>
    <w:rsid w:val="000C422B"/>
    <w:rsid w:val="000D3749"/>
    <w:rsid w:val="000D531B"/>
    <w:rsid w:val="000E73CB"/>
    <w:rsid w:val="000F048D"/>
    <w:rsid w:val="000F3780"/>
    <w:rsid w:val="0011068E"/>
    <w:rsid w:val="00130C7C"/>
    <w:rsid w:val="00142F0E"/>
    <w:rsid w:val="00144515"/>
    <w:rsid w:val="0014669B"/>
    <w:rsid w:val="00150CC9"/>
    <w:rsid w:val="001555BA"/>
    <w:rsid w:val="001654DE"/>
    <w:rsid w:val="00171920"/>
    <w:rsid w:val="00175C53"/>
    <w:rsid w:val="00192EA1"/>
    <w:rsid w:val="00193059"/>
    <w:rsid w:val="00197AE3"/>
    <w:rsid w:val="001A16D9"/>
    <w:rsid w:val="001B08F5"/>
    <w:rsid w:val="001C117F"/>
    <w:rsid w:val="001C2F93"/>
    <w:rsid w:val="001C75ED"/>
    <w:rsid w:val="001E1F1D"/>
    <w:rsid w:val="001E2FEF"/>
    <w:rsid w:val="001E3C32"/>
    <w:rsid w:val="001E596E"/>
    <w:rsid w:val="002005C9"/>
    <w:rsid w:val="002067F6"/>
    <w:rsid w:val="002138C0"/>
    <w:rsid w:val="00222DC1"/>
    <w:rsid w:val="00231835"/>
    <w:rsid w:val="002403B0"/>
    <w:rsid w:val="00256C77"/>
    <w:rsid w:val="002627F9"/>
    <w:rsid w:val="00266FAC"/>
    <w:rsid w:val="00273244"/>
    <w:rsid w:val="00277A9A"/>
    <w:rsid w:val="00281E7B"/>
    <w:rsid w:val="00282B36"/>
    <w:rsid w:val="00292320"/>
    <w:rsid w:val="002A0B76"/>
    <w:rsid w:val="002A6CDA"/>
    <w:rsid w:val="002A7B8A"/>
    <w:rsid w:val="002C1DFA"/>
    <w:rsid w:val="002D54D3"/>
    <w:rsid w:val="002F155C"/>
    <w:rsid w:val="002F17D8"/>
    <w:rsid w:val="002F1FAC"/>
    <w:rsid w:val="002F670D"/>
    <w:rsid w:val="0031114C"/>
    <w:rsid w:val="0031741A"/>
    <w:rsid w:val="0032782A"/>
    <w:rsid w:val="003604BB"/>
    <w:rsid w:val="00364924"/>
    <w:rsid w:val="003721B1"/>
    <w:rsid w:val="00382C69"/>
    <w:rsid w:val="00382FA6"/>
    <w:rsid w:val="003B6966"/>
    <w:rsid w:val="003C32ED"/>
    <w:rsid w:val="003D03C5"/>
    <w:rsid w:val="003D25CF"/>
    <w:rsid w:val="003E03DE"/>
    <w:rsid w:val="00440F0B"/>
    <w:rsid w:val="00441920"/>
    <w:rsid w:val="004476E2"/>
    <w:rsid w:val="004530B6"/>
    <w:rsid w:val="0046292B"/>
    <w:rsid w:val="004636F2"/>
    <w:rsid w:val="00470679"/>
    <w:rsid w:val="00476AFF"/>
    <w:rsid w:val="00484133"/>
    <w:rsid w:val="00491E96"/>
    <w:rsid w:val="004C3EA7"/>
    <w:rsid w:val="004C7664"/>
    <w:rsid w:val="004C7674"/>
    <w:rsid w:val="004D0868"/>
    <w:rsid w:val="004D5BBE"/>
    <w:rsid w:val="004F32AD"/>
    <w:rsid w:val="004F4B8F"/>
    <w:rsid w:val="00514C3A"/>
    <w:rsid w:val="00522DB5"/>
    <w:rsid w:val="00525CC9"/>
    <w:rsid w:val="00526DC7"/>
    <w:rsid w:val="00531760"/>
    <w:rsid w:val="00534608"/>
    <w:rsid w:val="00545404"/>
    <w:rsid w:val="0055207E"/>
    <w:rsid w:val="00556D65"/>
    <w:rsid w:val="005573F8"/>
    <w:rsid w:val="0055786C"/>
    <w:rsid w:val="005621E7"/>
    <w:rsid w:val="0058298D"/>
    <w:rsid w:val="005A2F47"/>
    <w:rsid w:val="005B6229"/>
    <w:rsid w:val="005B7E5C"/>
    <w:rsid w:val="005D7238"/>
    <w:rsid w:val="005E0E9C"/>
    <w:rsid w:val="005E2377"/>
    <w:rsid w:val="00601054"/>
    <w:rsid w:val="006014FE"/>
    <w:rsid w:val="00604929"/>
    <w:rsid w:val="0061418D"/>
    <w:rsid w:val="00630D4B"/>
    <w:rsid w:val="006439CA"/>
    <w:rsid w:val="006448FE"/>
    <w:rsid w:val="0065565F"/>
    <w:rsid w:val="00655EB8"/>
    <w:rsid w:val="006634BD"/>
    <w:rsid w:val="00670B1E"/>
    <w:rsid w:val="00673684"/>
    <w:rsid w:val="00674785"/>
    <w:rsid w:val="00680698"/>
    <w:rsid w:val="00682BFC"/>
    <w:rsid w:val="00685F8A"/>
    <w:rsid w:val="00695115"/>
    <w:rsid w:val="006A3C80"/>
    <w:rsid w:val="006A7398"/>
    <w:rsid w:val="006A7ACF"/>
    <w:rsid w:val="006B70D4"/>
    <w:rsid w:val="006B7A05"/>
    <w:rsid w:val="006C72E7"/>
    <w:rsid w:val="006C77C9"/>
    <w:rsid w:val="006D0A18"/>
    <w:rsid w:val="006D54F3"/>
    <w:rsid w:val="006F1D28"/>
    <w:rsid w:val="00731B8C"/>
    <w:rsid w:val="0073359E"/>
    <w:rsid w:val="00737CB0"/>
    <w:rsid w:val="0076259B"/>
    <w:rsid w:val="00762DC4"/>
    <w:rsid w:val="00765DC4"/>
    <w:rsid w:val="00774D4F"/>
    <w:rsid w:val="007761BE"/>
    <w:rsid w:val="007766E0"/>
    <w:rsid w:val="007869EA"/>
    <w:rsid w:val="00793435"/>
    <w:rsid w:val="00797EE2"/>
    <w:rsid w:val="007A1233"/>
    <w:rsid w:val="007A4F3F"/>
    <w:rsid w:val="007A670E"/>
    <w:rsid w:val="007C004F"/>
    <w:rsid w:val="007F208E"/>
    <w:rsid w:val="007F5E31"/>
    <w:rsid w:val="0083666C"/>
    <w:rsid w:val="0084048F"/>
    <w:rsid w:val="008539B9"/>
    <w:rsid w:val="00861FFD"/>
    <w:rsid w:val="00862BD8"/>
    <w:rsid w:val="008648D0"/>
    <w:rsid w:val="0086631A"/>
    <w:rsid w:val="00874AD2"/>
    <w:rsid w:val="00883ADD"/>
    <w:rsid w:val="00897C32"/>
    <w:rsid w:val="008A4889"/>
    <w:rsid w:val="008B59B3"/>
    <w:rsid w:val="008B7200"/>
    <w:rsid w:val="008C0040"/>
    <w:rsid w:val="008C0A46"/>
    <w:rsid w:val="008C26CB"/>
    <w:rsid w:val="008D07B3"/>
    <w:rsid w:val="008E508C"/>
    <w:rsid w:val="008F088E"/>
    <w:rsid w:val="008F1A2E"/>
    <w:rsid w:val="00911B90"/>
    <w:rsid w:val="00923D2D"/>
    <w:rsid w:val="009418A4"/>
    <w:rsid w:val="00956F61"/>
    <w:rsid w:val="00962E24"/>
    <w:rsid w:val="009A14FD"/>
    <w:rsid w:val="009A1E79"/>
    <w:rsid w:val="009A58FC"/>
    <w:rsid w:val="009D08F2"/>
    <w:rsid w:val="009D3B55"/>
    <w:rsid w:val="009F08D6"/>
    <w:rsid w:val="009F2FCD"/>
    <w:rsid w:val="009F6612"/>
    <w:rsid w:val="009F6D49"/>
    <w:rsid w:val="00A07857"/>
    <w:rsid w:val="00A17F89"/>
    <w:rsid w:val="00A26C83"/>
    <w:rsid w:val="00A33EDC"/>
    <w:rsid w:val="00A46BE2"/>
    <w:rsid w:val="00A72257"/>
    <w:rsid w:val="00A770DE"/>
    <w:rsid w:val="00AC65B9"/>
    <w:rsid w:val="00AD2FB3"/>
    <w:rsid w:val="00AE3990"/>
    <w:rsid w:val="00B000E2"/>
    <w:rsid w:val="00B0010B"/>
    <w:rsid w:val="00B01C19"/>
    <w:rsid w:val="00B02E11"/>
    <w:rsid w:val="00B2360E"/>
    <w:rsid w:val="00B5735A"/>
    <w:rsid w:val="00B60BBF"/>
    <w:rsid w:val="00B75A8D"/>
    <w:rsid w:val="00B8021E"/>
    <w:rsid w:val="00B86B90"/>
    <w:rsid w:val="00B90914"/>
    <w:rsid w:val="00B944C6"/>
    <w:rsid w:val="00BC2D24"/>
    <w:rsid w:val="00BC5A9B"/>
    <w:rsid w:val="00BC6E7B"/>
    <w:rsid w:val="00BD7BDE"/>
    <w:rsid w:val="00BE15A9"/>
    <w:rsid w:val="00BF170D"/>
    <w:rsid w:val="00BF3F9A"/>
    <w:rsid w:val="00C2208D"/>
    <w:rsid w:val="00C30B31"/>
    <w:rsid w:val="00C521BC"/>
    <w:rsid w:val="00C535B9"/>
    <w:rsid w:val="00C62B05"/>
    <w:rsid w:val="00C65892"/>
    <w:rsid w:val="00C71D49"/>
    <w:rsid w:val="00C733E3"/>
    <w:rsid w:val="00C908E3"/>
    <w:rsid w:val="00CA1B7A"/>
    <w:rsid w:val="00CB0DB9"/>
    <w:rsid w:val="00CB3EBE"/>
    <w:rsid w:val="00CF0D1B"/>
    <w:rsid w:val="00CF5EA3"/>
    <w:rsid w:val="00CF6902"/>
    <w:rsid w:val="00CF6CE3"/>
    <w:rsid w:val="00D02161"/>
    <w:rsid w:val="00D06AC8"/>
    <w:rsid w:val="00D06F10"/>
    <w:rsid w:val="00D07E3C"/>
    <w:rsid w:val="00D15EF8"/>
    <w:rsid w:val="00D30F60"/>
    <w:rsid w:val="00D423E9"/>
    <w:rsid w:val="00D60B57"/>
    <w:rsid w:val="00D849A4"/>
    <w:rsid w:val="00D86CE8"/>
    <w:rsid w:val="00D91729"/>
    <w:rsid w:val="00D93000"/>
    <w:rsid w:val="00DC1A09"/>
    <w:rsid w:val="00DC3677"/>
    <w:rsid w:val="00DE5D4D"/>
    <w:rsid w:val="00DF0A61"/>
    <w:rsid w:val="00E07C03"/>
    <w:rsid w:val="00E10FD1"/>
    <w:rsid w:val="00E2370B"/>
    <w:rsid w:val="00E23CBC"/>
    <w:rsid w:val="00E30991"/>
    <w:rsid w:val="00E375CA"/>
    <w:rsid w:val="00E50F4A"/>
    <w:rsid w:val="00E56D9C"/>
    <w:rsid w:val="00E62B6F"/>
    <w:rsid w:val="00E70975"/>
    <w:rsid w:val="00E805B2"/>
    <w:rsid w:val="00E8436C"/>
    <w:rsid w:val="00E93892"/>
    <w:rsid w:val="00EA39EF"/>
    <w:rsid w:val="00EC228D"/>
    <w:rsid w:val="00EC6CCB"/>
    <w:rsid w:val="00ED3200"/>
    <w:rsid w:val="00ED7D9F"/>
    <w:rsid w:val="00EF0D57"/>
    <w:rsid w:val="00EF7895"/>
    <w:rsid w:val="00F028F9"/>
    <w:rsid w:val="00F03D67"/>
    <w:rsid w:val="00F1027E"/>
    <w:rsid w:val="00F10566"/>
    <w:rsid w:val="00F10FBC"/>
    <w:rsid w:val="00F12F4B"/>
    <w:rsid w:val="00F20704"/>
    <w:rsid w:val="00F212AB"/>
    <w:rsid w:val="00F3791D"/>
    <w:rsid w:val="00F418B4"/>
    <w:rsid w:val="00F5052F"/>
    <w:rsid w:val="00F61CA7"/>
    <w:rsid w:val="00F81946"/>
    <w:rsid w:val="00FA074A"/>
    <w:rsid w:val="00FB4B3A"/>
    <w:rsid w:val="00FB7C11"/>
    <w:rsid w:val="00FD2D4F"/>
    <w:rsid w:val="00FE6E40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4E7FB-DC5B-489B-A919-D068CE8E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basedOn w:val="prastasis"/>
    <w:link w:val="KomentarotekstasDiagrama"/>
    <w:uiPriority w:val="99"/>
    <w:unhideWhenUsed/>
    <w:rsid w:val="00D15EF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rsid w:val="00D15EF8"/>
    <w:rPr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FE6E40"/>
    <w:rPr>
      <w:rFonts w:ascii="Segoe UI" w:hAnsi="Segoe UI" w:cs="Segoe UI"/>
      <w:sz w:val="18"/>
      <w:szCs w:val="18"/>
      <w:lang w:eastAsia="en-US"/>
    </w:rPr>
  </w:style>
  <w:style w:type="paragraph" w:customStyle="1" w:styleId="Betarp1">
    <w:name w:val="Be tarpų1"/>
    <w:qFormat/>
    <w:rsid w:val="00EC6CC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2138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FreeFormA">
    <w:name w:val="Free Form A"/>
    <w:rsid w:val="00C2208D"/>
    <w:rPr>
      <w:rFonts w:ascii="Helvetica" w:eastAsia="ヒラギノ角ゴ Pro W3" w:hAnsi="Helvetica"/>
      <w:color w:val="000000"/>
      <w:sz w:val="24"/>
      <w:szCs w:val="24"/>
      <w:lang w:val="en-US" w:eastAsia="en-US"/>
    </w:rPr>
  </w:style>
  <w:style w:type="table" w:styleId="Lentelstinklelis">
    <w:name w:val="Table Grid"/>
    <w:basedOn w:val="prastojilentel"/>
    <w:uiPriority w:val="59"/>
    <w:rsid w:val="00F10FB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BE1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lt-LT" sz="1200" b="1"/>
              <a:t>Šviežių supakuotų L kat. kiaušinių </a:t>
            </a:r>
            <a:r>
              <a:rPr lang="lt-LT" sz="1200" b="1" i="0" u="none" strike="noStrike" baseline="0">
                <a:effectLst/>
              </a:rPr>
              <a:t>mažmeninės </a:t>
            </a:r>
            <a:r>
              <a:rPr lang="en-US" sz="1200" b="1" i="0" u="none" strike="noStrike" baseline="0">
                <a:effectLst/>
              </a:rPr>
              <a:t>kainos </a:t>
            </a:r>
            <a:r>
              <a:rPr lang="lt-LT" sz="1200" b="1" i="0" u="none" strike="noStrike" baseline="0">
                <a:effectLst/>
              </a:rPr>
              <a:t>grandinė 2016–2019 m., </a:t>
            </a:r>
            <a:r>
              <a:rPr lang="lt-LT" sz="1200" b="1"/>
              <a:t>EUR/10 vnt. </a:t>
            </a:r>
            <a:endParaRPr lang="en-US" sz="1200" b="1"/>
          </a:p>
        </c:rich>
      </c:tx>
      <c:layout>
        <c:manualLayout>
          <c:xMode val="edge"/>
          <c:yMode val="edge"/>
          <c:x val="0.13413338717275725"/>
          <c:y val="1.682873405043604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3042670570863887E-2"/>
          <c:y val="0.12428626466070079"/>
          <c:w val="0.9559892132385891"/>
          <c:h val="0.70509764261118735"/>
        </c:manualLayout>
      </c:layout>
      <c:areaChart>
        <c:grouping val="stacked"/>
        <c:varyColors val="0"/>
        <c:ser>
          <c:idx val="0"/>
          <c:order val="0"/>
          <c:tx>
            <c:strRef>
              <c:f>'L grandine'!$A$28</c:f>
              <c:strCache>
                <c:ptCount val="1"/>
                <c:pt idx="0">
                  <c:v>Gamintojų dalis</c:v>
                </c:pt>
              </c:strCache>
            </c:strRef>
          </c:tx>
          <c:spPr>
            <a:solidFill>
              <a:srgbClr val="8EC3A7"/>
            </a:solidFill>
          </c:spP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306-4399-8B16-35DEEFA369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'L grandine'!$B$24:$AN$25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'L grandine'!$B$28:$AN$28</c:f>
              <c:numCache>
                <c:formatCode>0.00</c:formatCode>
                <c:ptCount val="39"/>
                <c:pt idx="0">
                  <c:v>0.69399999999999995</c:v>
                </c:pt>
                <c:pt idx="1">
                  <c:v>0.67900000000000005</c:v>
                </c:pt>
                <c:pt idx="2">
                  <c:v>0.69699999999999995</c:v>
                </c:pt>
                <c:pt idx="3">
                  <c:v>0.65600000000000003</c:v>
                </c:pt>
                <c:pt idx="4">
                  <c:v>0.61250000000000004</c:v>
                </c:pt>
                <c:pt idx="5">
                  <c:v>0.60150000000000003</c:v>
                </c:pt>
                <c:pt idx="6">
                  <c:v>0.61094999999999999</c:v>
                </c:pt>
                <c:pt idx="7">
                  <c:v>0.629</c:v>
                </c:pt>
                <c:pt idx="8">
                  <c:v>0.65649999999999997</c:v>
                </c:pt>
                <c:pt idx="9">
                  <c:v>0.67200000000000004</c:v>
                </c:pt>
                <c:pt idx="10">
                  <c:v>0.69399999999999995</c:v>
                </c:pt>
                <c:pt idx="11">
                  <c:v>0.72150000000000003</c:v>
                </c:pt>
                <c:pt idx="12">
                  <c:v>0.73399999999999999</c:v>
                </c:pt>
                <c:pt idx="13">
                  <c:v>0.71799999999999997</c:v>
                </c:pt>
                <c:pt idx="14">
                  <c:v>0.72699999999999998</c:v>
                </c:pt>
                <c:pt idx="15">
                  <c:v>0.69299999999999995</c:v>
                </c:pt>
                <c:pt idx="16">
                  <c:v>0.67</c:v>
                </c:pt>
                <c:pt idx="17">
                  <c:v>0.65800000000000003</c:v>
                </c:pt>
                <c:pt idx="18">
                  <c:v>0.62</c:v>
                </c:pt>
                <c:pt idx="19">
                  <c:v>0.66</c:v>
                </c:pt>
                <c:pt idx="20">
                  <c:v>0.71445000000000003</c:v>
                </c:pt>
                <c:pt idx="21">
                  <c:v>0.77</c:v>
                </c:pt>
                <c:pt idx="22">
                  <c:v>0.84</c:v>
                </c:pt>
                <c:pt idx="23">
                  <c:v>0.85</c:v>
                </c:pt>
                <c:pt idx="24">
                  <c:v>0.78300000000000003</c:v>
                </c:pt>
                <c:pt idx="25">
                  <c:v>0.72</c:v>
                </c:pt>
                <c:pt idx="26">
                  <c:v>0.73</c:v>
                </c:pt>
                <c:pt idx="27">
                  <c:v>0.67</c:v>
                </c:pt>
                <c:pt idx="28">
                  <c:v>0.61</c:v>
                </c:pt>
                <c:pt idx="29">
                  <c:v>0.6</c:v>
                </c:pt>
                <c:pt idx="30">
                  <c:v>0.62</c:v>
                </c:pt>
                <c:pt idx="31">
                  <c:v>0.64</c:v>
                </c:pt>
                <c:pt idx="32">
                  <c:v>0.66</c:v>
                </c:pt>
                <c:pt idx="33">
                  <c:v>0.7</c:v>
                </c:pt>
                <c:pt idx="34">
                  <c:v>0.7</c:v>
                </c:pt>
                <c:pt idx="35">
                  <c:v>0.71</c:v>
                </c:pt>
                <c:pt idx="36">
                  <c:v>0.69</c:v>
                </c:pt>
                <c:pt idx="37">
                  <c:v>0.7</c:v>
                </c:pt>
                <c:pt idx="38" formatCode="General">
                  <c:v>0.71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306-4399-8B16-35DEEFA369ED}"/>
            </c:ext>
          </c:extLst>
        </c:ser>
        <c:ser>
          <c:idx val="1"/>
          <c:order val="1"/>
          <c:tx>
            <c:strRef>
              <c:f>'L grandine'!$A$27</c:f>
              <c:strCache>
                <c:ptCount val="1"/>
                <c:pt idx="0">
                  <c:v>Mažmeninės prekybos pardavėjų dalis </c:v>
                </c:pt>
              </c:strCache>
            </c:strRef>
          </c:tx>
          <c:spPr>
            <a:solidFill>
              <a:srgbClr val="F5CD64"/>
            </a:solidFill>
          </c:spP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6-4399-8B16-35DEEFA369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'L grandine'!$B$24:$AN$25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'L grandine'!$B$27:$AN$27</c:f>
              <c:numCache>
                <c:formatCode>0.00</c:formatCode>
                <c:ptCount val="39"/>
                <c:pt idx="0">
                  <c:v>0.38</c:v>
                </c:pt>
                <c:pt idx="1">
                  <c:v>0.37</c:v>
                </c:pt>
                <c:pt idx="2">
                  <c:v>0.38</c:v>
                </c:pt>
                <c:pt idx="3">
                  <c:v>0.43</c:v>
                </c:pt>
                <c:pt idx="4">
                  <c:v>0.48</c:v>
                </c:pt>
                <c:pt idx="5">
                  <c:v>0.45</c:v>
                </c:pt>
                <c:pt idx="6">
                  <c:v>0.45</c:v>
                </c:pt>
                <c:pt idx="7">
                  <c:v>0.43</c:v>
                </c:pt>
                <c:pt idx="8">
                  <c:v>0.37</c:v>
                </c:pt>
                <c:pt idx="9">
                  <c:v>0.33</c:v>
                </c:pt>
                <c:pt idx="10">
                  <c:v>0.3</c:v>
                </c:pt>
                <c:pt idx="11">
                  <c:v>0.35</c:v>
                </c:pt>
                <c:pt idx="12">
                  <c:v>0.34</c:v>
                </c:pt>
                <c:pt idx="13">
                  <c:v>0.36</c:v>
                </c:pt>
                <c:pt idx="14">
                  <c:v>0.33</c:v>
                </c:pt>
                <c:pt idx="15">
                  <c:v>0.4</c:v>
                </c:pt>
                <c:pt idx="16">
                  <c:v>0.41</c:v>
                </c:pt>
                <c:pt idx="17">
                  <c:v>0.43</c:v>
                </c:pt>
                <c:pt idx="18">
                  <c:v>0.49</c:v>
                </c:pt>
                <c:pt idx="19">
                  <c:v>0.43090909090909102</c:v>
                </c:pt>
                <c:pt idx="20">
                  <c:v>0.36</c:v>
                </c:pt>
                <c:pt idx="21">
                  <c:v>0.3</c:v>
                </c:pt>
                <c:pt idx="22">
                  <c:v>0.3</c:v>
                </c:pt>
                <c:pt idx="23">
                  <c:v>0.36</c:v>
                </c:pt>
                <c:pt idx="24">
                  <c:v>0.68</c:v>
                </c:pt>
                <c:pt idx="25">
                  <c:v>0.64</c:v>
                </c:pt>
                <c:pt idx="26">
                  <c:v>0.56000000000000005</c:v>
                </c:pt>
                <c:pt idx="27">
                  <c:v>0.59</c:v>
                </c:pt>
                <c:pt idx="28">
                  <c:v>0.59</c:v>
                </c:pt>
                <c:pt idx="29">
                  <c:v>0.7</c:v>
                </c:pt>
                <c:pt idx="30">
                  <c:v>0.64</c:v>
                </c:pt>
                <c:pt idx="31">
                  <c:v>0.57999999999999996</c:v>
                </c:pt>
                <c:pt idx="32">
                  <c:v>0.55000000000000004</c:v>
                </c:pt>
                <c:pt idx="33">
                  <c:v>0.52</c:v>
                </c:pt>
                <c:pt idx="34">
                  <c:v>0.55000000000000004</c:v>
                </c:pt>
                <c:pt idx="35">
                  <c:v>0.54</c:v>
                </c:pt>
                <c:pt idx="36">
                  <c:v>0.6</c:v>
                </c:pt>
                <c:pt idx="37">
                  <c:v>0.59</c:v>
                </c:pt>
                <c:pt idx="38">
                  <c:v>0.57999999999999996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306-4399-8B16-35DEEFA369ED}"/>
            </c:ext>
          </c:extLst>
        </c:ser>
        <c:ser>
          <c:idx val="2"/>
          <c:order val="2"/>
          <c:tx>
            <c:strRef>
              <c:f>'L grandine'!$A$26</c:f>
              <c:strCache>
                <c:ptCount val="1"/>
                <c:pt idx="0">
                  <c:v>PVM dalis </c:v>
                </c:pt>
              </c:strCache>
            </c:strRef>
          </c:tx>
          <c:spPr>
            <a:solidFill>
              <a:srgbClr val="DBDBDB"/>
            </a:solidFill>
          </c:spPr>
          <c:dLbls>
            <c:dLbl>
              <c:idx val="0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306-4399-8B16-35DEEFA369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'L grandine'!$B$24:$AN$25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'L grandine'!$B$26:$AN$26</c:f>
              <c:numCache>
                <c:formatCode>0.00</c:formatCode>
                <c:ptCount val="39"/>
                <c:pt idx="0">
                  <c:v>0.22600000000000001</c:v>
                </c:pt>
                <c:pt idx="1">
                  <c:v>0.221</c:v>
                </c:pt>
                <c:pt idx="2">
                  <c:v>0.22700000000000001</c:v>
                </c:pt>
                <c:pt idx="3">
                  <c:v>0.22900000000000001</c:v>
                </c:pt>
                <c:pt idx="4">
                  <c:v>0.23</c:v>
                </c:pt>
                <c:pt idx="5">
                  <c:v>0.221</c:v>
                </c:pt>
                <c:pt idx="6">
                  <c:v>0.224</c:v>
                </c:pt>
                <c:pt idx="7">
                  <c:v>0.223</c:v>
                </c:pt>
                <c:pt idx="8">
                  <c:v>0.216</c:v>
                </c:pt>
                <c:pt idx="9">
                  <c:v>0.21049999999999999</c:v>
                </c:pt>
                <c:pt idx="10">
                  <c:v>0.21</c:v>
                </c:pt>
                <c:pt idx="11">
                  <c:v>0.22600000000000001</c:v>
                </c:pt>
                <c:pt idx="12">
                  <c:v>0.22600000000000001</c:v>
                </c:pt>
                <c:pt idx="13">
                  <c:v>0.22700000000000001</c:v>
                </c:pt>
                <c:pt idx="14">
                  <c:v>0.223</c:v>
                </c:pt>
                <c:pt idx="15">
                  <c:v>0.23</c:v>
                </c:pt>
                <c:pt idx="16">
                  <c:v>0.22850000000000001</c:v>
                </c:pt>
                <c:pt idx="17">
                  <c:v>0.22900000000000001</c:v>
                </c:pt>
                <c:pt idx="18">
                  <c:v>0.23300000000000001</c:v>
                </c:pt>
                <c:pt idx="19">
                  <c:v>0.22900000000000001</c:v>
                </c:pt>
                <c:pt idx="20">
                  <c:v>0.22450000000000001</c:v>
                </c:pt>
                <c:pt idx="21">
                  <c:v>0.22420999999999999</c:v>
                </c:pt>
                <c:pt idx="22">
                  <c:v>0.24</c:v>
                </c:pt>
                <c:pt idx="23">
                  <c:v>0.254</c:v>
                </c:pt>
                <c:pt idx="24">
                  <c:v>0.309</c:v>
                </c:pt>
                <c:pt idx="25">
                  <c:v>0.28599999999999998</c:v>
                </c:pt>
                <c:pt idx="26">
                  <c:v>0.27</c:v>
                </c:pt>
                <c:pt idx="27">
                  <c:v>0.26400000000000001</c:v>
                </c:pt>
                <c:pt idx="28">
                  <c:v>0.253</c:v>
                </c:pt>
                <c:pt idx="29">
                  <c:v>0.27300000000000002</c:v>
                </c:pt>
                <c:pt idx="30">
                  <c:v>0.26600000000000001</c:v>
                </c:pt>
                <c:pt idx="31">
                  <c:v>0.25800000000000001</c:v>
                </c:pt>
                <c:pt idx="32">
                  <c:v>0.25480000000000003</c:v>
                </c:pt>
                <c:pt idx="33">
                  <c:v>0.25700000000000001</c:v>
                </c:pt>
                <c:pt idx="34">
                  <c:v>0.26319999999999999</c:v>
                </c:pt>
                <c:pt idx="35">
                  <c:v>0.26200000000000001</c:v>
                </c:pt>
                <c:pt idx="36">
                  <c:v>0.27200000000000002</c:v>
                </c:pt>
                <c:pt idx="37">
                  <c:v>0.27200000000000002</c:v>
                </c:pt>
                <c:pt idx="38">
                  <c:v>0.27200000000000002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306-4399-8B16-35DEEFA369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3464880"/>
        <c:axId val="343458352"/>
      </c:areaChart>
      <c:catAx>
        <c:axId val="343464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343458352"/>
        <c:crosses val="autoZero"/>
        <c:auto val="1"/>
        <c:lblAlgn val="ctr"/>
        <c:lblOffset val="100"/>
        <c:noMultiLvlLbl val="0"/>
      </c:catAx>
      <c:valAx>
        <c:axId val="343458352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txPr>
          <a:bodyPr/>
          <a:lstStyle/>
          <a:p>
            <a:pPr>
              <a:defRPr sz="900" b="0"/>
            </a:pPr>
            <a:endParaRPr lang="en-US"/>
          </a:p>
        </c:txPr>
        <c:crossAx val="343464880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8.877371777042814E-2"/>
          <c:y val="0.93259537188723896"/>
          <c:w val="0.83931784597383496"/>
          <c:h val="6.7404628112761072E-2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lt-LT" b="1"/>
              <a:t>Šviežių supakuotų L kat. kiaušinių mažmeninės</a:t>
            </a:r>
            <a:r>
              <a:rPr lang="lt-LT" b="1" baseline="0"/>
              <a:t> </a:t>
            </a:r>
            <a:r>
              <a:rPr lang="lt-LT" b="1"/>
              <a:t>kainos grandinė</a:t>
            </a:r>
          </a:p>
          <a:p>
            <a:pPr>
              <a:defRPr sz="1200" b="0"/>
            </a:pPr>
            <a:r>
              <a:rPr lang="lt-LT" b="1"/>
              <a:t> 2016–2019 m.,  proc.</a:t>
            </a:r>
          </a:p>
        </c:rich>
      </c:tx>
      <c:layout>
        <c:manualLayout>
          <c:xMode val="edge"/>
          <c:yMode val="edge"/>
          <c:x val="0.17994391993239983"/>
          <c:y val="3.179004178881784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833244544926933E-2"/>
          <c:y val="0.12225850405759005"/>
          <c:w val="0.9559892132385891"/>
          <c:h val="0.68978379616789853"/>
        </c:manualLayout>
      </c:layout>
      <c:areaChart>
        <c:grouping val="stacked"/>
        <c:varyColors val="0"/>
        <c:ser>
          <c:idx val="0"/>
          <c:order val="0"/>
          <c:tx>
            <c:strRef>
              <c:f>'L grandine'!$A$61</c:f>
              <c:strCache>
                <c:ptCount val="1"/>
                <c:pt idx="0">
                  <c:v>Gamintojų dalis </c:v>
                </c:pt>
              </c:strCache>
            </c:strRef>
          </c:tx>
          <c:spPr>
            <a:solidFill>
              <a:srgbClr val="8EC3A7"/>
            </a:solidFill>
          </c:spP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'L grandine'!$B$57:$AN$58</c:f>
              <c:multiLvlStrCache>
                <c:ptCount val="39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01</c:v>
                  </c:pt>
                  <c:pt idx="37">
                    <c:v>02</c:v>
                  </c:pt>
                  <c:pt idx="38">
                    <c:v>03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'L grandine'!$B$61:$AN$61</c:f>
              <c:numCache>
                <c:formatCode>0.0</c:formatCode>
                <c:ptCount val="39"/>
                <c:pt idx="0">
                  <c:v>53.384615384615373</c:v>
                </c:pt>
                <c:pt idx="1">
                  <c:v>53.464566929133859</c:v>
                </c:pt>
                <c:pt idx="2">
                  <c:v>53.450920245398756</c:v>
                </c:pt>
                <c:pt idx="3">
                  <c:v>49.885931558935347</c:v>
                </c:pt>
                <c:pt idx="4">
                  <c:v>46.313799621928169</c:v>
                </c:pt>
                <c:pt idx="5">
                  <c:v>47.26915520628684</c:v>
                </c:pt>
                <c:pt idx="6">
                  <c:v>47.54474708171206</c:v>
                </c:pt>
                <c:pt idx="7">
                  <c:v>49.06396255850234</c:v>
                </c:pt>
                <c:pt idx="8">
                  <c:v>52.837022132796776</c:v>
                </c:pt>
                <c:pt idx="9">
                  <c:v>55.422680412371136</c:v>
                </c:pt>
                <c:pt idx="10">
                  <c:v>57.641196013289033</c:v>
                </c:pt>
                <c:pt idx="11">
                  <c:v>55.606936416184972</c:v>
                </c:pt>
                <c:pt idx="12">
                  <c:v>56.46153846153846</c:v>
                </c:pt>
                <c:pt idx="13">
                  <c:v>55.019157088122597</c:v>
                </c:pt>
                <c:pt idx="14">
                  <c:v>56.796875</c:v>
                </c:pt>
                <c:pt idx="15">
                  <c:v>52.362948960302461</c:v>
                </c:pt>
                <c:pt idx="16">
                  <c:v>51.333841463414629</c:v>
                </c:pt>
                <c:pt idx="17">
                  <c:v>49.885931558935347</c:v>
                </c:pt>
                <c:pt idx="18">
                  <c:v>45.943925233644862</c:v>
                </c:pt>
                <c:pt idx="19">
                  <c:v>49.851823708206688</c:v>
                </c:pt>
                <c:pt idx="20">
                  <c:v>54.777562862669249</c:v>
                </c:pt>
                <c:pt idx="21">
                  <c:v>59.202334630350194</c:v>
                </c:pt>
                <c:pt idx="22">
                  <c:v>60.869565217391283</c:v>
                </c:pt>
                <c:pt idx="23">
                  <c:v>57.945205479452056</c:v>
                </c:pt>
                <c:pt idx="24">
                  <c:v>44.203102961918198</c:v>
                </c:pt>
                <c:pt idx="25">
                  <c:v>43.74240583232077</c:v>
                </c:pt>
                <c:pt idx="26">
                  <c:v>46.623794212218641</c:v>
                </c:pt>
                <c:pt idx="27">
                  <c:v>43.630363036303635</c:v>
                </c:pt>
                <c:pt idx="28">
                  <c:v>41.862068965517238</c:v>
                </c:pt>
                <c:pt idx="29">
                  <c:v>38.025477707006367</c:v>
                </c:pt>
                <c:pt idx="30">
                  <c:v>40.784313725490193</c:v>
                </c:pt>
                <c:pt idx="31">
                  <c:v>42.857142857142861</c:v>
                </c:pt>
                <c:pt idx="32">
                  <c:v>45.158432708688238</c:v>
                </c:pt>
                <c:pt idx="33">
                  <c:v>47.5</c:v>
                </c:pt>
                <c:pt idx="34">
                  <c:v>46.145695364238406</c:v>
                </c:pt>
                <c:pt idx="35">
                  <c:v>46.710963455149503</c:v>
                </c:pt>
                <c:pt idx="36">
                  <c:v>44.245524296675178</c:v>
                </c:pt>
                <c:pt idx="37">
                  <c:v>44.743589743589737</c:v>
                </c:pt>
                <c:pt idx="38">
                  <c:v>45.472000000000001</c:v>
                </c:pt>
              </c:numCache>
            </c:numRef>
          </c:val>
        </c:ser>
        <c:ser>
          <c:idx val="1"/>
          <c:order val="1"/>
          <c:tx>
            <c:strRef>
              <c:f>'L grandine'!$A$60</c:f>
              <c:strCache>
                <c:ptCount val="1"/>
                <c:pt idx="0">
                  <c:v>Mažmeninės prekybos pardavėjų dalis </c:v>
                </c:pt>
              </c:strCache>
            </c:strRef>
          </c:tx>
          <c:spPr>
            <a:solidFill>
              <a:srgbClr val="F5CD64"/>
            </a:solidFill>
          </c:spP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'L grandine'!$B$57:$AN$58</c:f>
              <c:multiLvlStrCache>
                <c:ptCount val="39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01</c:v>
                  </c:pt>
                  <c:pt idx="37">
                    <c:v>02</c:v>
                  </c:pt>
                  <c:pt idx="38">
                    <c:v>03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'L grandine'!$B$60:$AN$60</c:f>
              <c:numCache>
                <c:formatCode>0.0</c:formatCode>
                <c:ptCount val="39"/>
                <c:pt idx="0">
                  <c:v>29.230769230769234</c:v>
                </c:pt>
                <c:pt idx="1">
                  <c:v>29.133858267716533</c:v>
                </c:pt>
                <c:pt idx="2">
                  <c:v>29.14110429447852</c:v>
                </c:pt>
                <c:pt idx="3">
                  <c:v>32.699619771863112</c:v>
                </c:pt>
                <c:pt idx="4">
                  <c:v>36.294896030245745</c:v>
                </c:pt>
                <c:pt idx="5">
                  <c:v>35.36345776031434</c:v>
                </c:pt>
                <c:pt idx="6">
                  <c:v>35.019455252918291</c:v>
                </c:pt>
                <c:pt idx="7">
                  <c:v>33.541341653666144</c:v>
                </c:pt>
                <c:pt idx="8">
                  <c:v>29.778672032193153</c:v>
                </c:pt>
                <c:pt idx="9">
                  <c:v>27.216494845360828</c:v>
                </c:pt>
                <c:pt idx="10">
                  <c:v>24.916943521594686</c:v>
                </c:pt>
                <c:pt idx="11">
                  <c:v>26.974951830443157</c:v>
                </c:pt>
                <c:pt idx="12">
                  <c:v>26.153846153846157</c:v>
                </c:pt>
                <c:pt idx="13">
                  <c:v>27.586206896551719</c:v>
                </c:pt>
                <c:pt idx="14">
                  <c:v>25.781250000000007</c:v>
                </c:pt>
                <c:pt idx="15">
                  <c:v>30.245746691871457</c:v>
                </c:pt>
                <c:pt idx="16">
                  <c:v>31.249999999999993</c:v>
                </c:pt>
                <c:pt idx="17">
                  <c:v>32.699619771863112</c:v>
                </c:pt>
                <c:pt idx="18">
                  <c:v>36.63551401869158</c:v>
                </c:pt>
                <c:pt idx="19">
                  <c:v>32.743851892788065</c:v>
                </c:pt>
                <c:pt idx="20">
                  <c:v>27.852998065764023</c:v>
                </c:pt>
                <c:pt idx="21">
                  <c:v>23.346303501945524</c:v>
                </c:pt>
                <c:pt idx="22">
                  <c:v>21.739130434782602</c:v>
                </c:pt>
                <c:pt idx="23">
                  <c:v>24.657534246575342</c:v>
                </c:pt>
                <c:pt idx="24">
                  <c:v>38.363892806770103</c:v>
                </c:pt>
                <c:pt idx="25">
                  <c:v>38.882138517618465</c:v>
                </c:pt>
                <c:pt idx="26">
                  <c:v>36.012861736334401</c:v>
                </c:pt>
                <c:pt idx="27">
                  <c:v>38.943894389438945</c:v>
                </c:pt>
                <c:pt idx="28">
                  <c:v>40.689655172413794</c:v>
                </c:pt>
                <c:pt idx="29">
                  <c:v>44.585987261146492</c:v>
                </c:pt>
                <c:pt idx="30">
                  <c:v>41.830065359477125</c:v>
                </c:pt>
                <c:pt idx="31">
                  <c:v>39.757412398921829</c:v>
                </c:pt>
                <c:pt idx="32">
                  <c:v>37.478705281090292</c:v>
                </c:pt>
                <c:pt idx="33">
                  <c:v>35.135135135135137</c:v>
                </c:pt>
                <c:pt idx="34">
                  <c:v>36.423841059602651</c:v>
                </c:pt>
                <c:pt idx="35">
                  <c:v>35.880398671096351</c:v>
                </c:pt>
                <c:pt idx="36">
                  <c:v>38.363171355498714</c:v>
                </c:pt>
                <c:pt idx="37">
                  <c:v>37.820512820512818</c:v>
                </c:pt>
                <c:pt idx="38">
                  <c:v>37.119999999999997</c:v>
                </c:pt>
              </c:numCache>
            </c:numRef>
          </c:val>
        </c:ser>
        <c:ser>
          <c:idx val="2"/>
          <c:order val="2"/>
          <c:tx>
            <c:strRef>
              <c:f>'L grandine'!$A$59</c:f>
              <c:strCache>
                <c:ptCount val="1"/>
                <c:pt idx="0">
                  <c:v>PVM dalis </c:v>
                </c:pt>
              </c:strCache>
            </c:strRef>
          </c:tx>
          <c:spPr>
            <a:solidFill>
              <a:srgbClr val="DBDBDB"/>
            </a:solidFill>
          </c:spPr>
          <c:dLbls>
            <c:spPr>
              <a:noFill/>
              <a:ln w="25400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'L grandine'!$B$57:$AN$58</c:f>
              <c:multiLvlStrCache>
                <c:ptCount val="39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01</c:v>
                  </c:pt>
                  <c:pt idx="37">
                    <c:v>02</c:v>
                  </c:pt>
                  <c:pt idx="38">
                    <c:v>03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'L grandine'!$B$59:$AN$59</c:f>
              <c:numCache>
                <c:formatCode>0.0</c:formatCode>
                <c:ptCount val="39"/>
                <c:pt idx="0">
                  <c:v>17.384615384615383</c:v>
                </c:pt>
                <c:pt idx="1">
                  <c:v>17.401574803149604</c:v>
                </c:pt>
                <c:pt idx="2">
                  <c:v>17.407975460122696</c:v>
                </c:pt>
                <c:pt idx="3">
                  <c:v>17.414448669201516</c:v>
                </c:pt>
                <c:pt idx="4">
                  <c:v>17.391304347826086</c:v>
                </c:pt>
                <c:pt idx="5">
                  <c:v>17.367387033398821</c:v>
                </c:pt>
                <c:pt idx="6">
                  <c:v>17.431906614785994</c:v>
                </c:pt>
                <c:pt idx="7">
                  <c:v>17.394695787831512</c:v>
                </c:pt>
                <c:pt idx="8">
                  <c:v>17.384305835010057</c:v>
                </c:pt>
                <c:pt idx="9">
                  <c:v>17.36082474226804</c:v>
                </c:pt>
                <c:pt idx="10">
                  <c:v>17.441860465116278</c:v>
                </c:pt>
                <c:pt idx="11">
                  <c:v>17.418111753371868</c:v>
                </c:pt>
                <c:pt idx="12">
                  <c:v>17.384615384615383</c:v>
                </c:pt>
                <c:pt idx="13">
                  <c:v>17.394636015325666</c:v>
                </c:pt>
                <c:pt idx="14">
                  <c:v>17.421875000000004</c:v>
                </c:pt>
                <c:pt idx="15">
                  <c:v>17.391304347826086</c:v>
                </c:pt>
                <c:pt idx="16">
                  <c:v>17.416158536585368</c:v>
                </c:pt>
                <c:pt idx="17">
                  <c:v>17.414448669201516</c:v>
                </c:pt>
                <c:pt idx="18">
                  <c:v>17.420560747663551</c:v>
                </c:pt>
                <c:pt idx="19">
                  <c:v>17.401215805471125</c:v>
                </c:pt>
                <c:pt idx="20">
                  <c:v>17.369439071566731</c:v>
                </c:pt>
                <c:pt idx="21">
                  <c:v>17.448249027237349</c:v>
                </c:pt>
                <c:pt idx="22">
                  <c:v>17.391304347826082</c:v>
                </c:pt>
                <c:pt idx="23">
                  <c:v>17.397260273972602</c:v>
                </c:pt>
                <c:pt idx="24">
                  <c:v>17.433004231311706</c:v>
                </c:pt>
                <c:pt idx="25">
                  <c:v>17.375455650060747</c:v>
                </c:pt>
                <c:pt idx="26">
                  <c:v>17.363344051446941</c:v>
                </c:pt>
                <c:pt idx="27">
                  <c:v>17.425742574257427</c:v>
                </c:pt>
                <c:pt idx="28">
                  <c:v>17.448275862068964</c:v>
                </c:pt>
                <c:pt idx="29">
                  <c:v>17.388535031847134</c:v>
                </c:pt>
                <c:pt idx="30">
                  <c:v>17.385620915032678</c:v>
                </c:pt>
                <c:pt idx="31">
                  <c:v>17.385444743935309</c:v>
                </c:pt>
                <c:pt idx="32">
                  <c:v>17.362862010221466</c:v>
                </c:pt>
                <c:pt idx="33">
                  <c:v>17.364864864864867</c:v>
                </c:pt>
                <c:pt idx="34">
                  <c:v>17.430463576158939</c:v>
                </c:pt>
                <c:pt idx="35">
                  <c:v>17.408637873754156</c:v>
                </c:pt>
                <c:pt idx="36">
                  <c:v>17.391304347826086</c:v>
                </c:pt>
                <c:pt idx="37">
                  <c:v>17.435897435897438</c:v>
                </c:pt>
                <c:pt idx="38">
                  <c:v>17.408000000000001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3437680"/>
        <c:axId val="343463248"/>
      </c:areaChart>
      <c:catAx>
        <c:axId val="343437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343463248"/>
        <c:crosses val="autoZero"/>
        <c:auto val="1"/>
        <c:lblAlgn val="ctr"/>
        <c:lblOffset val="100"/>
        <c:noMultiLvlLbl val="0"/>
      </c:catAx>
      <c:valAx>
        <c:axId val="343463248"/>
        <c:scaling>
          <c:orientation val="minMax"/>
          <c:max val="100"/>
        </c:scaling>
        <c:delete val="0"/>
        <c:axPos val="l"/>
        <c:majorGridlines/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="0"/>
            </a:pPr>
            <a:endParaRPr lang="en-US"/>
          </a:p>
        </c:txPr>
        <c:crossAx val="3434376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1908627202045716E-2"/>
          <c:y val="0.89381828724897761"/>
          <c:w val="0.85618283563611153"/>
          <c:h val="9.7082036257095772E-2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200" b="0"/>
            </a:pPr>
            <a:r>
              <a:rPr lang="en-US" sz="1200" b="1"/>
              <a:t>Š</a:t>
            </a:r>
            <a:r>
              <a:rPr lang="lt-LT" sz="1200" b="1"/>
              <a:t>viežių</a:t>
            </a:r>
            <a:r>
              <a:rPr lang="lt-LT" sz="1200" b="1" baseline="0"/>
              <a:t> supakuotų M kat. mažmeninės kainos grandinė, </a:t>
            </a:r>
          </a:p>
          <a:p>
            <a:pPr algn="ctr">
              <a:defRPr sz="1200" b="0"/>
            </a:pPr>
            <a:r>
              <a:rPr lang="lt-LT" sz="1200" b="1" baseline="0"/>
              <a:t>2016–2019 m., EUR/10 vnt</a:t>
            </a:r>
            <a:r>
              <a:rPr lang="lt-LT" sz="1200" baseline="0"/>
              <a:t>.</a:t>
            </a:r>
            <a:endParaRPr lang="en-US" sz="1200"/>
          </a:p>
        </c:rich>
      </c:tx>
      <c:layout>
        <c:manualLayout>
          <c:xMode val="edge"/>
          <c:yMode val="edge"/>
          <c:x val="0.24953520269373419"/>
          <c:y val="2.118165492471335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833244544926933E-2"/>
          <c:y val="0.14203232490675505"/>
          <c:w val="0.9559892132385891"/>
          <c:h val="0.67000994612515552"/>
        </c:manualLayout>
      </c:layout>
      <c:areaChart>
        <c:grouping val="stacked"/>
        <c:varyColors val="0"/>
        <c:ser>
          <c:idx val="0"/>
          <c:order val="0"/>
          <c:tx>
            <c:strRef>
              <c:f>'M grandine'!$A$28</c:f>
              <c:strCache>
                <c:ptCount val="1"/>
                <c:pt idx="0">
                  <c:v>Gamintojų dalis</c:v>
                </c:pt>
              </c:strCache>
            </c:strRef>
          </c:tx>
          <c:spPr>
            <a:solidFill>
              <a:srgbClr val="8EC3A7"/>
            </a:solidFill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'M grandine'!$B$24:$AN$25</c:f>
              <c:multiLvlStrCache>
                <c:ptCount val="39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'M grandine'!$B$28:$AN$28</c:f>
              <c:numCache>
                <c:formatCode>0.00</c:formatCode>
                <c:ptCount val="39"/>
                <c:pt idx="0">
                  <c:v>0.67</c:v>
                </c:pt>
                <c:pt idx="1">
                  <c:v>0.66300000000000003</c:v>
                </c:pt>
                <c:pt idx="2">
                  <c:v>0.64</c:v>
                </c:pt>
                <c:pt idx="3">
                  <c:v>0.63</c:v>
                </c:pt>
                <c:pt idx="4">
                  <c:v>0.56999999999999995</c:v>
                </c:pt>
                <c:pt idx="5">
                  <c:v>0.56000000000000005</c:v>
                </c:pt>
                <c:pt idx="6">
                  <c:v>0.56999999999999995</c:v>
                </c:pt>
                <c:pt idx="7">
                  <c:v>0.58399999999999996</c:v>
                </c:pt>
                <c:pt idx="8">
                  <c:v>0.60599999999999998</c:v>
                </c:pt>
                <c:pt idx="9">
                  <c:v>0.64300000000000002</c:v>
                </c:pt>
                <c:pt idx="10">
                  <c:v>0.64300000000000002</c:v>
                </c:pt>
                <c:pt idx="11">
                  <c:v>0.69899999999999995</c:v>
                </c:pt>
                <c:pt idx="12">
                  <c:v>0.69199999999999995</c:v>
                </c:pt>
                <c:pt idx="13">
                  <c:v>0.70199999999999996</c:v>
                </c:pt>
                <c:pt idx="14">
                  <c:v>0.68</c:v>
                </c:pt>
                <c:pt idx="15">
                  <c:v>0.66900000000000004</c:v>
                </c:pt>
                <c:pt idx="16">
                  <c:v>0.61899999999999999</c:v>
                </c:pt>
                <c:pt idx="17">
                  <c:v>0.622</c:v>
                </c:pt>
                <c:pt idx="18">
                  <c:v>0.57699999999999996</c:v>
                </c:pt>
                <c:pt idx="19">
                  <c:v>0.59560000000000002</c:v>
                </c:pt>
                <c:pt idx="20">
                  <c:v>0.61660000000000004</c:v>
                </c:pt>
                <c:pt idx="21">
                  <c:v>0.69299999999999995</c:v>
                </c:pt>
                <c:pt idx="22">
                  <c:v>0.77300000000000002</c:v>
                </c:pt>
                <c:pt idx="23">
                  <c:v>0.78957999999999995</c:v>
                </c:pt>
                <c:pt idx="24">
                  <c:v>0.7157</c:v>
                </c:pt>
                <c:pt idx="25">
                  <c:v>0.65700000000000003</c:v>
                </c:pt>
                <c:pt idx="26">
                  <c:v>0.70199999999999996</c:v>
                </c:pt>
                <c:pt idx="27">
                  <c:v>0.63600000000000001</c:v>
                </c:pt>
                <c:pt idx="28">
                  <c:v>0.56399999999999995</c:v>
                </c:pt>
                <c:pt idx="29">
                  <c:v>0.57899999999999996</c:v>
                </c:pt>
                <c:pt idx="30">
                  <c:v>0.57699999999999996</c:v>
                </c:pt>
                <c:pt idx="31">
                  <c:v>0.57799999999999996</c:v>
                </c:pt>
                <c:pt idx="32">
                  <c:v>0.60099999999999998</c:v>
                </c:pt>
                <c:pt idx="33">
                  <c:v>0.64700000000000002</c:v>
                </c:pt>
                <c:pt idx="34">
                  <c:v>0.63900000000000001</c:v>
                </c:pt>
                <c:pt idx="35">
                  <c:v>0.65100000000000002</c:v>
                </c:pt>
                <c:pt idx="36">
                  <c:v>0.63</c:v>
                </c:pt>
                <c:pt idx="37">
                  <c:v>0.622</c:v>
                </c:pt>
                <c:pt idx="38">
                  <c:v>0.65200000000000002</c:v>
                </c:pt>
              </c:numCache>
            </c:numRef>
          </c:val>
          <c:extLst xmlns:c16r2="http://schemas.microsoft.com/office/drawing/2015/06/chart"/>
        </c:ser>
        <c:ser>
          <c:idx val="1"/>
          <c:order val="1"/>
          <c:tx>
            <c:strRef>
              <c:f>'M grandine'!$A$27</c:f>
              <c:strCache>
                <c:ptCount val="1"/>
                <c:pt idx="0">
                  <c:v>Mažmeninės prekybos pardavėjų dalis </c:v>
                </c:pt>
              </c:strCache>
            </c:strRef>
          </c:tx>
          <c:spPr>
            <a:solidFill>
              <a:srgbClr val="F5CD64"/>
            </a:solidFill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'M grandine'!$B$24:$AN$25</c:f>
              <c:multiLvlStrCache>
                <c:ptCount val="39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'M grandine'!$B$27:$AN$27</c:f>
              <c:numCache>
                <c:formatCode>0.00</c:formatCode>
                <c:ptCount val="39"/>
                <c:pt idx="0">
                  <c:v>0.28000000000000003</c:v>
                </c:pt>
                <c:pt idx="1">
                  <c:v>0.27</c:v>
                </c:pt>
                <c:pt idx="2">
                  <c:v>0.31</c:v>
                </c:pt>
                <c:pt idx="3">
                  <c:v>0.32</c:v>
                </c:pt>
                <c:pt idx="4">
                  <c:v>0.38</c:v>
                </c:pt>
                <c:pt idx="5">
                  <c:v>0.35</c:v>
                </c:pt>
                <c:pt idx="6">
                  <c:v>0.33</c:v>
                </c:pt>
                <c:pt idx="7">
                  <c:v>0.3</c:v>
                </c:pt>
                <c:pt idx="8">
                  <c:v>0.27</c:v>
                </c:pt>
                <c:pt idx="9">
                  <c:v>0.2</c:v>
                </c:pt>
                <c:pt idx="10">
                  <c:v>0.2</c:v>
                </c:pt>
                <c:pt idx="11">
                  <c:v>0.16</c:v>
                </c:pt>
                <c:pt idx="12">
                  <c:v>0.2</c:v>
                </c:pt>
                <c:pt idx="13">
                  <c:v>0.19</c:v>
                </c:pt>
                <c:pt idx="14">
                  <c:v>0.22</c:v>
                </c:pt>
                <c:pt idx="15">
                  <c:v>0.24</c:v>
                </c:pt>
                <c:pt idx="16">
                  <c:v>0.28999999999999998</c:v>
                </c:pt>
                <c:pt idx="17">
                  <c:v>0.27</c:v>
                </c:pt>
                <c:pt idx="18">
                  <c:v>0.34</c:v>
                </c:pt>
                <c:pt idx="19">
                  <c:v>0.33</c:v>
                </c:pt>
                <c:pt idx="20">
                  <c:v>0.3</c:v>
                </c:pt>
                <c:pt idx="21">
                  <c:v>0.24</c:v>
                </c:pt>
                <c:pt idx="22">
                  <c:v>0.21</c:v>
                </c:pt>
                <c:pt idx="23">
                  <c:v>0.26</c:v>
                </c:pt>
                <c:pt idx="24">
                  <c:v>0.59</c:v>
                </c:pt>
                <c:pt idx="25">
                  <c:v>0.59</c:v>
                </c:pt>
                <c:pt idx="26">
                  <c:v>0.56999999999999995</c:v>
                </c:pt>
                <c:pt idx="27">
                  <c:v>0.62</c:v>
                </c:pt>
                <c:pt idx="28">
                  <c:v>0.65</c:v>
                </c:pt>
                <c:pt idx="29">
                  <c:v>0.47</c:v>
                </c:pt>
                <c:pt idx="30">
                  <c:v>0.62</c:v>
                </c:pt>
                <c:pt idx="31">
                  <c:v>0.62</c:v>
                </c:pt>
                <c:pt idx="32">
                  <c:v>0.57999999999999996</c:v>
                </c:pt>
                <c:pt idx="33">
                  <c:v>0.46</c:v>
                </c:pt>
                <c:pt idx="34">
                  <c:v>0.46</c:v>
                </c:pt>
                <c:pt idx="35">
                  <c:v>0.67</c:v>
                </c:pt>
                <c:pt idx="36">
                  <c:v>0.65</c:v>
                </c:pt>
                <c:pt idx="37">
                  <c:v>0.6</c:v>
                </c:pt>
                <c:pt idx="38">
                  <c:v>0.56999999999999995</c:v>
                </c:pt>
              </c:numCache>
            </c:numRef>
          </c:val>
          <c:extLst xmlns:c16r2="http://schemas.microsoft.com/office/drawing/2015/06/chart"/>
        </c:ser>
        <c:ser>
          <c:idx val="2"/>
          <c:order val="2"/>
          <c:tx>
            <c:strRef>
              <c:f>'M grandine'!$A$26</c:f>
              <c:strCache>
                <c:ptCount val="1"/>
                <c:pt idx="0">
                  <c:v>PVM dalis </c:v>
                </c:pt>
              </c:strCache>
            </c:strRef>
          </c:tx>
          <c:spPr>
            <a:solidFill>
              <a:srgbClr val="DBDBDB"/>
            </a:solidFill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'M grandine'!$B$24:$AN$25</c:f>
              <c:multiLvlStrCache>
                <c:ptCount val="39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'M grandine'!$B$26:$AN$26</c:f>
              <c:numCache>
                <c:formatCode>0.00</c:formatCode>
                <c:ptCount val="39"/>
                <c:pt idx="0">
                  <c:v>0.2</c:v>
                </c:pt>
                <c:pt idx="1">
                  <c:v>0.19700000000000001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  <c:pt idx="5">
                  <c:v>0.19</c:v>
                </c:pt>
                <c:pt idx="6">
                  <c:v>0.19</c:v>
                </c:pt>
                <c:pt idx="7">
                  <c:v>0.186</c:v>
                </c:pt>
                <c:pt idx="8">
                  <c:v>0.184</c:v>
                </c:pt>
                <c:pt idx="9">
                  <c:v>0.17699999999999999</c:v>
                </c:pt>
                <c:pt idx="10">
                  <c:v>0.17699999999999999</c:v>
                </c:pt>
                <c:pt idx="11">
                  <c:v>0.18099999999999999</c:v>
                </c:pt>
                <c:pt idx="12">
                  <c:v>0.188</c:v>
                </c:pt>
                <c:pt idx="13">
                  <c:v>0.188</c:v>
                </c:pt>
                <c:pt idx="14">
                  <c:v>0.19</c:v>
                </c:pt>
                <c:pt idx="15">
                  <c:v>0.191</c:v>
                </c:pt>
                <c:pt idx="16">
                  <c:v>0.191</c:v>
                </c:pt>
                <c:pt idx="17">
                  <c:v>0.188</c:v>
                </c:pt>
                <c:pt idx="18">
                  <c:v>0.193</c:v>
                </c:pt>
                <c:pt idx="19">
                  <c:v>0.19439999999999999</c:v>
                </c:pt>
                <c:pt idx="20">
                  <c:v>0.19339999999999999</c:v>
                </c:pt>
                <c:pt idx="21">
                  <c:v>0.19700000000000001</c:v>
                </c:pt>
                <c:pt idx="22">
                  <c:v>0.20699999999999999</c:v>
                </c:pt>
                <c:pt idx="23">
                  <c:v>0.22041322314049588</c:v>
                </c:pt>
                <c:pt idx="24">
                  <c:v>0.27429999999999999</c:v>
                </c:pt>
                <c:pt idx="25">
                  <c:v>0.26300000000000001</c:v>
                </c:pt>
                <c:pt idx="26">
                  <c:v>0.26800000000000002</c:v>
                </c:pt>
                <c:pt idx="27">
                  <c:v>0.26400000000000001</c:v>
                </c:pt>
                <c:pt idx="28">
                  <c:v>0.25600000000000001</c:v>
                </c:pt>
                <c:pt idx="29">
                  <c:v>0.221</c:v>
                </c:pt>
                <c:pt idx="30">
                  <c:v>0.253</c:v>
                </c:pt>
                <c:pt idx="31">
                  <c:v>0.252</c:v>
                </c:pt>
                <c:pt idx="32">
                  <c:v>0.249</c:v>
                </c:pt>
                <c:pt idx="33">
                  <c:v>0.23300000000000001</c:v>
                </c:pt>
                <c:pt idx="34">
                  <c:v>0.23100000000000001</c:v>
                </c:pt>
                <c:pt idx="35">
                  <c:v>0.27900000000000003</c:v>
                </c:pt>
                <c:pt idx="36">
                  <c:v>0.27</c:v>
                </c:pt>
                <c:pt idx="37">
                  <c:v>0.25800000000000001</c:v>
                </c:pt>
                <c:pt idx="38">
                  <c:v>0.25800000000000001</c:v>
                </c:pt>
              </c:numCache>
            </c:numRef>
          </c:val>
          <c:extLst xmlns:c16r2="http://schemas.microsoft.com/office/drawing/2015/06/chart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3440400"/>
        <c:axId val="343446384"/>
      </c:areaChart>
      <c:catAx>
        <c:axId val="3434404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343446384"/>
        <c:crosses val="autoZero"/>
        <c:auto val="1"/>
        <c:lblAlgn val="ctr"/>
        <c:lblOffset val="100"/>
        <c:noMultiLvlLbl val="0"/>
      </c:catAx>
      <c:valAx>
        <c:axId val="343446384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txPr>
          <a:bodyPr/>
          <a:lstStyle/>
          <a:p>
            <a:pPr>
              <a:defRPr sz="900" b="0"/>
            </a:pPr>
            <a:endParaRPr lang="en-US"/>
          </a:p>
        </c:txPr>
        <c:crossAx val="343440400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7.1908647557669153E-2"/>
          <c:y val="0.89381835083114625"/>
          <c:w val="0.85618281065018231"/>
          <c:h val="9.7082088876821432E-2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/>
            </a:pPr>
            <a:r>
              <a:rPr lang="lt-LT" sz="1200" b="1"/>
              <a:t>Šviežių supakuotų M kat. kiaušinių mažmeninės kainos grandinė</a:t>
            </a:r>
          </a:p>
          <a:p>
            <a:pPr>
              <a:defRPr sz="1000" b="1"/>
            </a:pPr>
            <a:r>
              <a:rPr lang="lt-LT" sz="1200" b="1"/>
              <a:t> 2016–2019 m., proc.</a:t>
            </a:r>
            <a:endParaRPr lang="en-US" sz="1200" b="1"/>
          </a:p>
        </c:rich>
      </c:tx>
      <c:layout>
        <c:manualLayout>
          <c:xMode val="edge"/>
          <c:yMode val="edge"/>
          <c:x val="0.19289947730892612"/>
          <c:y val="1.1883186134579908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5898825519536214E-2"/>
          <c:y val="0.10694454477593972"/>
          <c:w val="0.88860408316454231"/>
          <c:h val="0.70509764261118735"/>
        </c:manualLayout>
      </c:layout>
      <c:areaChart>
        <c:grouping val="stacked"/>
        <c:varyColors val="0"/>
        <c:ser>
          <c:idx val="0"/>
          <c:order val="0"/>
          <c:tx>
            <c:strRef>
              <c:f>'M grandine'!$A$67</c:f>
              <c:strCache>
                <c:ptCount val="1"/>
                <c:pt idx="0">
                  <c:v>Gamintojų dalis </c:v>
                </c:pt>
              </c:strCache>
            </c:strRef>
          </c:tx>
          <c:spPr>
            <a:solidFill>
              <a:srgbClr val="8EC3A7"/>
            </a:solidFill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'M grandine'!$B$63:$AN$64</c:f>
              <c:multiLvlStrCache>
                <c:ptCount val="39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'M grandine'!$B$67:$AN$67</c:f>
              <c:numCache>
                <c:formatCode>0.0</c:formatCode>
                <c:ptCount val="39"/>
                <c:pt idx="0">
                  <c:v>58.260869565217398</c:v>
                </c:pt>
                <c:pt idx="1">
                  <c:v>58.67256637168142</c:v>
                </c:pt>
                <c:pt idx="2">
                  <c:v>55.652173913043477</c:v>
                </c:pt>
                <c:pt idx="3">
                  <c:v>54.782608695652179</c:v>
                </c:pt>
                <c:pt idx="4">
                  <c:v>49.565217391304344</c:v>
                </c:pt>
                <c:pt idx="5">
                  <c:v>50.909090909090914</c:v>
                </c:pt>
                <c:pt idx="6">
                  <c:v>52.29357798165136</c:v>
                </c:pt>
                <c:pt idx="7">
                  <c:v>54.579439252336435</c:v>
                </c:pt>
                <c:pt idx="8">
                  <c:v>57.169811320754718</c:v>
                </c:pt>
                <c:pt idx="9">
                  <c:v>63.03921568627451</c:v>
                </c:pt>
                <c:pt idx="10">
                  <c:v>63.03921568627451</c:v>
                </c:pt>
                <c:pt idx="11">
                  <c:v>67.211538461538453</c:v>
                </c:pt>
                <c:pt idx="12">
                  <c:v>64.074074074074062</c:v>
                </c:pt>
                <c:pt idx="13">
                  <c:v>64.999999999999986</c:v>
                </c:pt>
                <c:pt idx="14">
                  <c:v>62.385321100917437</c:v>
                </c:pt>
                <c:pt idx="15">
                  <c:v>60.818181818181813</c:v>
                </c:pt>
                <c:pt idx="16">
                  <c:v>56.272727272727266</c:v>
                </c:pt>
                <c:pt idx="17">
                  <c:v>57.592592592592581</c:v>
                </c:pt>
                <c:pt idx="18">
                  <c:v>51.981981981981974</c:v>
                </c:pt>
                <c:pt idx="19">
                  <c:v>53.178571428571431</c:v>
                </c:pt>
                <c:pt idx="20">
                  <c:v>55.549549549549546</c:v>
                </c:pt>
                <c:pt idx="21">
                  <c:v>61.327433628318587</c:v>
                </c:pt>
                <c:pt idx="22">
                  <c:v>64.957983193277315</c:v>
                </c:pt>
                <c:pt idx="23">
                  <c:v>62.17165354330708</c:v>
                </c:pt>
                <c:pt idx="24">
                  <c:v>45.297468354430379</c:v>
                </c:pt>
                <c:pt idx="25">
                  <c:v>43.50993377483443</c:v>
                </c:pt>
                <c:pt idx="26">
                  <c:v>45.584415584415581</c:v>
                </c:pt>
                <c:pt idx="27">
                  <c:v>41.842105263157897</c:v>
                </c:pt>
                <c:pt idx="28">
                  <c:v>38.367346938775512</c:v>
                </c:pt>
                <c:pt idx="29">
                  <c:v>45.590551181102356</c:v>
                </c:pt>
                <c:pt idx="30">
                  <c:v>39.793103448275865</c:v>
                </c:pt>
                <c:pt idx="31">
                  <c:v>39.862068965517238</c:v>
                </c:pt>
                <c:pt idx="32">
                  <c:v>42.027972027972019</c:v>
                </c:pt>
                <c:pt idx="33">
                  <c:v>48.283582089552247</c:v>
                </c:pt>
                <c:pt idx="34">
                  <c:v>48.045112781954884</c:v>
                </c:pt>
                <c:pt idx="35">
                  <c:v>40.6875</c:v>
                </c:pt>
                <c:pt idx="36">
                  <c:v>40.645161290322577</c:v>
                </c:pt>
                <c:pt idx="37">
                  <c:v>42.027027027027025</c:v>
                </c:pt>
                <c:pt idx="38">
                  <c:v>44.054054054054056</c:v>
                </c:pt>
              </c:numCache>
            </c:numRef>
          </c:val>
          <c:extLst xmlns:c16r2="http://schemas.microsoft.com/office/drawing/2015/06/chart"/>
        </c:ser>
        <c:ser>
          <c:idx val="1"/>
          <c:order val="1"/>
          <c:tx>
            <c:strRef>
              <c:f>'M grandine'!$A$66</c:f>
              <c:strCache>
                <c:ptCount val="1"/>
                <c:pt idx="0">
                  <c:v>Mažmeninės prekybos pardavėjų dalis </c:v>
                </c:pt>
              </c:strCache>
            </c:strRef>
          </c:tx>
          <c:spPr>
            <a:solidFill>
              <a:srgbClr val="F5CD64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'M grandine'!$B$63:$AN$64</c:f>
              <c:multiLvlStrCache>
                <c:ptCount val="39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'M grandine'!$B$66:$AN$66</c:f>
              <c:numCache>
                <c:formatCode>0.0</c:formatCode>
                <c:ptCount val="39"/>
                <c:pt idx="0">
                  <c:v>24.347826086956527</c:v>
                </c:pt>
                <c:pt idx="1">
                  <c:v>23.893805309734518</c:v>
                </c:pt>
                <c:pt idx="2">
                  <c:v>26.956521739130434</c:v>
                </c:pt>
                <c:pt idx="3">
                  <c:v>27.826086956521738</c:v>
                </c:pt>
                <c:pt idx="4">
                  <c:v>33.04347826086957</c:v>
                </c:pt>
                <c:pt idx="5">
                  <c:v>31.818181818181813</c:v>
                </c:pt>
                <c:pt idx="6">
                  <c:v>30.275229357798167</c:v>
                </c:pt>
                <c:pt idx="7">
                  <c:v>28.037383177570092</c:v>
                </c:pt>
                <c:pt idx="8">
                  <c:v>25.471698113207548</c:v>
                </c:pt>
                <c:pt idx="9">
                  <c:v>19.607843137254903</c:v>
                </c:pt>
                <c:pt idx="10">
                  <c:v>19.607843137254903</c:v>
                </c:pt>
                <c:pt idx="11">
                  <c:v>15.384615384615385</c:v>
                </c:pt>
                <c:pt idx="12">
                  <c:v>18.518518518518519</c:v>
                </c:pt>
                <c:pt idx="13">
                  <c:v>17.592592592592592</c:v>
                </c:pt>
                <c:pt idx="14">
                  <c:v>20.183486238532108</c:v>
                </c:pt>
                <c:pt idx="15">
                  <c:v>21.818181818181813</c:v>
                </c:pt>
                <c:pt idx="16">
                  <c:v>26.36363636363636</c:v>
                </c:pt>
                <c:pt idx="17">
                  <c:v>25</c:v>
                </c:pt>
                <c:pt idx="18">
                  <c:v>30.630630630630627</c:v>
                </c:pt>
                <c:pt idx="19">
                  <c:v>29.464285714285722</c:v>
                </c:pt>
                <c:pt idx="20">
                  <c:v>27.027027027027025</c:v>
                </c:pt>
                <c:pt idx="21">
                  <c:v>21.238938053097346</c:v>
                </c:pt>
                <c:pt idx="22">
                  <c:v>17.647058823529413</c:v>
                </c:pt>
                <c:pt idx="23">
                  <c:v>20.472440944881889</c:v>
                </c:pt>
                <c:pt idx="24">
                  <c:v>37.341772151898731</c:v>
                </c:pt>
                <c:pt idx="25">
                  <c:v>39.072847682119196</c:v>
                </c:pt>
                <c:pt idx="26">
                  <c:v>37.012987012987011</c:v>
                </c:pt>
                <c:pt idx="27">
                  <c:v>40.789473684210527</c:v>
                </c:pt>
                <c:pt idx="28">
                  <c:v>44.217687074829939</c:v>
                </c:pt>
                <c:pt idx="29">
                  <c:v>37.00787401574803</c:v>
                </c:pt>
                <c:pt idx="30">
                  <c:v>42.758620689655174</c:v>
                </c:pt>
                <c:pt idx="31">
                  <c:v>42.758620689655174</c:v>
                </c:pt>
                <c:pt idx="32">
                  <c:v>40.559440559440553</c:v>
                </c:pt>
                <c:pt idx="33">
                  <c:v>34.32835820895523</c:v>
                </c:pt>
                <c:pt idx="34">
                  <c:v>34.586466165413533</c:v>
                </c:pt>
                <c:pt idx="35">
                  <c:v>41.875</c:v>
                </c:pt>
                <c:pt idx="36">
                  <c:v>41.935483870967737</c:v>
                </c:pt>
                <c:pt idx="37">
                  <c:v>40.54054054054054</c:v>
                </c:pt>
                <c:pt idx="38">
                  <c:v>38.513513513513509</c:v>
                </c:pt>
              </c:numCache>
            </c:numRef>
          </c:val>
          <c:extLst xmlns:c16r2="http://schemas.microsoft.com/office/drawing/2015/06/chart"/>
        </c:ser>
        <c:ser>
          <c:idx val="2"/>
          <c:order val="2"/>
          <c:tx>
            <c:strRef>
              <c:f>'M grandine'!$A$65</c:f>
              <c:strCache>
                <c:ptCount val="1"/>
                <c:pt idx="0">
                  <c:v>PVM dalis </c:v>
                </c:pt>
              </c:strCache>
            </c:strRef>
          </c:tx>
          <c:spPr>
            <a:solidFill>
              <a:srgbClr val="DBDBDB"/>
            </a:solidFill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'M grandine'!$B$63:$AN$64</c:f>
              <c:multiLvlStrCache>
                <c:ptCount val="39"/>
                <c:lvl>
                  <c:pt idx="0">
                    <c:v>01</c:v>
                  </c:pt>
                  <c:pt idx="1">
                    <c:v>02</c:v>
                  </c:pt>
                  <c:pt idx="2">
                    <c:v>03</c:v>
                  </c:pt>
                  <c:pt idx="3">
                    <c:v>04</c:v>
                  </c:pt>
                  <c:pt idx="4">
                    <c:v>05</c:v>
                  </c:pt>
                  <c:pt idx="5">
                    <c:v>06</c:v>
                  </c:pt>
                  <c:pt idx="6">
                    <c:v>07</c:v>
                  </c:pt>
                  <c:pt idx="7">
                    <c:v>08</c:v>
                  </c:pt>
                  <c:pt idx="8">
                    <c:v>09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01</c:v>
                  </c:pt>
                  <c:pt idx="13">
                    <c:v>02</c:v>
                  </c:pt>
                  <c:pt idx="14">
                    <c:v>03</c:v>
                  </c:pt>
                  <c:pt idx="15">
                    <c:v>04</c:v>
                  </c:pt>
                  <c:pt idx="16">
                    <c:v>05</c:v>
                  </c:pt>
                  <c:pt idx="17">
                    <c:v>06</c:v>
                  </c:pt>
                  <c:pt idx="18">
                    <c:v>07</c:v>
                  </c:pt>
                  <c:pt idx="19">
                    <c:v>08</c:v>
                  </c:pt>
                  <c:pt idx="20">
                    <c:v>09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01</c:v>
                  </c:pt>
                  <c:pt idx="25">
                    <c:v>02</c:v>
                  </c:pt>
                  <c:pt idx="26">
                    <c:v>03</c:v>
                  </c:pt>
                  <c:pt idx="27">
                    <c:v>04</c:v>
                  </c:pt>
                  <c:pt idx="28">
                    <c:v>05</c:v>
                  </c:pt>
                  <c:pt idx="29">
                    <c:v>06</c:v>
                  </c:pt>
                  <c:pt idx="30">
                    <c:v>07</c:v>
                  </c:pt>
                  <c:pt idx="31">
                    <c:v>08</c:v>
                  </c:pt>
                  <c:pt idx="32">
                    <c:v>09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</c:lvl>
              </c:multiLvlStrCache>
            </c:multiLvlStrRef>
          </c:cat>
          <c:val>
            <c:numRef>
              <c:f>'M grandine'!$B$65:$AN$65</c:f>
              <c:numCache>
                <c:formatCode>0.0</c:formatCode>
                <c:ptCount val="39"/>
                <c:pt idx="0">
                  <c:v>17.39130434782609</c:v>
                </c:pt>
                <c:pt idx="1">
                  <c:v>17.433628318584073</c:v>
                </c:pt>
                <c:pt idx="2">
                  <c:v>17.39130434782609</c:v>
                </c:pt>
                <c:pt idx="3">
                  <c:v>17.39130434782609</c:v>
                </c:pt>
                <c:pt idx="4">
                  <c:v>17.39130434782609</c:v>
                </c:pt>
                <c:pt idx="5">
                  <c:v>17.27272727272727</c:v>
                </c:pt>
                <c:pt idx="6">
                  <c:v>17.431192660550458</c:v>
                </c:pt>
                <c:pt idx="7">
                  <c:v>17.383177570093455</c:v>
                </c:pt>
                <c:pt idx="8">
                  <c:v>17.358490566037734</c:v>
                </c:pt>
                <c:pt idx="9">
                  <c:v>17.352941176470587</c:v>
                </c:pt>
                <c:pt idx="10">
                  <c:v>17.352941176470587</c:v>
                </c:pt>
                <c:pt idx="11">
                  <c:v>17.403846153846153</c:v>
                </c:pt>
                <c:pt idx="12">
                  <c:v>17.407407407407408</c:v>
                </c:pt>
                <c:pt idx="13">
                  <c:v>17.407407407407408</c:v>
                </c:pt>
                <c:pt idx="14">
                  <c:v>17.431192660550458</c:v>
                </c:pt>
                <c:pt idx="15">
                  <c:v>17.363636363636363</c:v>
                </c:pt>
                <c:pt idx="16">
                  <c:v>17.363636363636363</c:v>
                </c:pt>
                <c:pt idx="17">
                  <c:v>17.407407407407408</c:v>
                </c:pt>
                <c:pt idx="18">
                  <c:v>17.387387387387388</c:v>
                </c:pt>
                <c:pt idx="19">
                  <c:v>17.357142857142858</c:v>
                </c:pt>
                <c:pt idx="20">
                  <c:v>17.423423423423419</c:v>
                </c:pt>
                <c:pt idx="21">
                  <c:v>17.433628318584073</c:v>
                </c:pt>
                <c:pt idx="22">
                  <c:v>17.394957983193276</c:v>
                </c:pt>
                <c:pt idx="23">
                  <c:v>17.355371900826448</c:v>
                </c:pt>
                <c:pt idx="24">
                  <c:v>17.360759493670884</c:v>
                </c:pt>
                <c:pt idx="25">
                  <c:v>17.417218543046356</c:v>
                </c:pt>
                <c:pt idx="26">
                  <c:v>17.402597402597404</c:v>
                </c:pt>
                <c:pt idx="27">
                  <c:v>17.368421052631579</c:v>
                </c:pt>
                <c:pt idx="28">
                  <c:v>17.414965986394559</c:v>
                </c:pt>
                <c:pt idx="29">
                  <c:v>17.401574803149604</c:v>
                </c:pt>
                <c:pt idx="30">
                  <c:v>17.448275862068964</c:v>
                </c:pt>
                <c:pt idx="31">
                  <c:v>17.379310344827587</c:v>
                </c:pt>
                <c:pt idx="32">
                  <c:v>17.41258741258741</c:v>
                </c:pt>
                <c:pt idx="33">
                  <c:v>17.388059701492541</c:v>
                </c:pt>
                <c:pt idx="34">
                  <c:v>17.368421052631579</c:v>
                </c:pt>
                <c:pt idx="35">
                  <c:v>17.4375</c:v>
                </c:pt>
                <c:pt idx="36">
                  <c:v>17.419354838709676</c:v>
                </c:pt>
                <c:pt idx="37">
                  <c:v>17.432432432432432</c:v>
                </c:pt>
                <c:pt idx="38">
                  <c:v>17.432432432432432</c:v>
                </c:pt>
              </c:numCache>
            </c:numRef>
          </c:val>
          <c:extLst xmlns:c16r2="http://schemas.microsoft.com/office/drawing/2015/06/chart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3457808"/>
        <c:axId val="343446928"/>
      </c:areaChart>
      <c:catAx>
        <c:axId val="3434578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343446928"/>
        <c:crosses val="autoZero"/>
        <c:auto val="1"/>
        <c:lblAlgn val="ctr"/>
        <c:lblOffset val="100"/>
        <c:noMultiLvlLbl val="0"/>
      </c:catAx>
      <c:valAx>
        <c:axId val="343446928"/>
        <c:scaling>
          <c:orientation val="minMax"/>
          <c:max val="100"/>
        </c:scaling>
        <c:delete val="0"/>
        <c:axPos val="l"/>
        <c:majorGridlines/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sz="900" b="0"/>
            </a:pPr>
            <a:endParaRPr lang="en-US"/>
          </a:p>
        </c:txPr>
        <c:crossAx val="343457808"/>
        <c:crosses val="autoZero"/>
        <c:crossBetween val="midCat"/>
      </c:valAx>
    </c:plotArea>
    <c:legend>
      <c:legendPos val="b"/>
      <c:layout>
        <c:manualLayout>
          <c:xMode val="edge"/>
          <c:yMode val="edge"/>
          <c:x val="7.1908647557669153E-2"/>
          <c:y val="0.89381835083114625"/>
          <c:w val="0.85618281065018231"/>
          <c:h val="9.7082088876821432E-2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t-LT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Šviežių</a:t>
            </a:r>
            <a:r>
              <a:rPr lang="lt-LT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supakuotų L kategorijos kiaušinių pardavimas Lietuvoje ir vidutinė gamintojų kaina, 2016–2019 m.</a:t>
            </a:r>
            <a:endParaRPr lang="en-US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6561962012812915E-2"/>
          <c:y val="0.17711394883929665"/>
          <c:w val="0.84483786300905939"/>
          <c:h val="0.5629506735396189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Lapas1!$A$3:$D$3</c:f>
              <c:strCache>
                <c:ptCount val="4"/>
                <c:pt idx="0">
                  <c:v>L kat. kiaušinių pardavimas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Lapas1!$E$1:$Q$2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</c:lvl>
              </c:multiLvlStrCache>
            </c:multiLvlStrRef>
          </c:cat>
          <c:val>
            <c:numRef>
              <c:f>Lapas1!$E$3:$Q$3</c:f>
              <c:numCache>
                <c:formatCode>General</c:formatCode>
                <c:ptCount val="13"/>
                <c:pt idx="0">
                  <c:v>42478.650999999998</c:v>
                </c:pt>
                <c:pt idx="1">
                  <c:v>30941.69</c:v>
                </c:pt>
                <c:pt idx="2">
                  <c:v>39974.89</c:v>
                </c:pt>
                <c:pt idx="3">
                  <c:v>51057.256000000001</c:v>
                </c:pt>
                <c:pt idx="4">
                  <c:v>48339.061000000002</c:v>
                </c:pt>
                <c:pt idx="5">
                  <c:v>30775.232</c:v>
                </c:pt>
                <c:pt idx="6">
                  <c:v>29773.171999999999</c:v>
                </c:pt>
                <c:pt idx="7">
                  <c:v>28651</c:v>
                </c:pt>
                <c:pt idx="8">
                  <c:v>33975.743999999999</c:v>
                </c:pt>
                <c:pt idx="9">
                  <c:v>30546.440999999999</c:v>
                </c:pt>
                <c:pt idx="10">
                  <c:v>38744.832000000002</c:v>
                </c:pt>
                <c:pt idx="11">
                  <c:v>31937.120999999999</c:v>
                </c:pt>
                <c:pt idx="12">
                  <c:v>26697.384999999998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451280"/>
        <c:axId val="343433328"/>
      </c:barChart>
      <c:lineChart>
        <c:grouping val="standard"/>
        <c:varyColors val="0"/>
        <c:ser>
          <c:idx val="2"/>
          <c:order val="1"/>
          <c:tx>
            <c:strRef>
              <c:f>Lapas1!$A$5:$D$5</c:f>
              <c:strCache>
                <c:ptCount val="4"/>
                <c:pt idx="0">
                  <c:v> gamintojų kaina (be PVM)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Lapas1!$E$1:$Q$1</c:f>
              <c:numCache>
                <c:formatCode>General</c:formatCode>
                <c:ptCount val="13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Lapas1!$E$5:$Q$5</c:f>
              <c:numCache>
                <c:formatCode>General</c:formatCode>
                <c:ptCount val="13"/>
                <c:pt idx="0">
                  <c:v>0.69</c:v>
                </c:pt>
                <c:pt idx="1">
                  <c:v>0.62</c:v>
                </c:pt>
                <c:pt idx="2">
                  <c:v>0.63</c:v>
                </c:pt>
                <c:pt idx="3">
                  <c:v>0.7</c:v>
                </c:pt>
                <c:pt idx="4">
                  <c:v>0.72</c:v>
                </c:pt>
                <c:pt idx="5">
                  <c:v>0.67</c:v>
                </c:pt>
                <c:pt idx="6">
                  <c:v>0.66</c:v>
                </c:pt>
                <c:pt idx="7">
                  <c:v>0.82</c:v>
                </c:pt>
                <c:pt idx="8">
                  <c:v>0.74</c:v>
                </c:pt>
                <c:pt idx="9">
                  <c:v>0.62</c:v>
                </c:pt>
                <c:pt idx="10">
                  <c:v>0.64</c:v>
                </c:pt>
                <c:pt idx="11">
                  <c:v>0.7</c:v>
                </c:pt>
                <c:pt idx="12">
                  <c:v>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3459984"/>
        <c:axId val="343445296"/>
      </c:lineChart>
      <c:catAx>
        <c:axId val="34345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433328"/>
        <c:crosses val="autoZero"/>
        <c:auto val="1"/>
        <c:lblAlgn val="ctr"/>
        <c:lblOffset val="100"/>
        <c:noMultiLvlLbl val="0"/>
      </c:catAx>
      <c:valAx>
        <c:axId val="34343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tūkst.</a:t>
                </a:r>
                <a:r>
                  <a:rPr lang="lt-LT" baseline="0"/>
                  <a:t> vnt.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4195382835210114E-2"/>
              <c:y val="8.621043955613240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451280"/>
        <c:crosses val="autoZero"/>
        <c:crossBetween val="between"/>
      </c:valAx>
      <c:valAx>
        <c:axId val="343445296"/>
        <c:scaling>
          <c:orientation val="minMax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EUR/10</a:t>
                </a:r>
                <a:r>
                  <a:rPr lang="lt-LT" baseline="0"/>
                  <a:t> vnt.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88092105263157894"/>
              <c:y val="9.02503637822474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459984"/>
        <c:crosses val="max"/>
        <c:crossBetween val="between"/>
      </c:valAx>
      <c:catAx>
        <c:axId val="343459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4344529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3"/>
          </a:solidFill>
        </a:ln>
        <a:effectLst/>
      </c:spPr>
    </c:plotArea>
    <c:legend>
      <c:legendPos val="b"/>
      <c:layout>
        <c:manualLayout>
          <c:xMode val="edge"/>
          <c:yMode val="edge"/>
          <c:x val="0.18916118901214246"/>
          <c:y val="0.89089860477966565"/>
          <c:w val="0.62167745562912691"/>
          <c:h val="7.40136759220886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lt-LT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Šviežių</a:t>
            </a:r>
            <a:r>
              <a:rPr lang="lt-LT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supakuotų M kategorijos kiaušinių pardavimas ir vidutinė </a:t>
            </a:r>
          </a:p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lt-LT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gamintojų kaina, 2016–2019 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3052113411398681E-2"/>
          <c:y val="0.1810745738972489"/>
          <c:w val="0.86226744660976917"/>
          <c:h val="0.588922312854605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Lapas1!$A$31:$D$31</c:f>
              <c:strCache>
                <c:ptCount val="4"/>
                <c:pt idx="0">
                  <c:v>M kat. kiaušinių pardavimas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Lapas1!$E$29:$Q$30</c:f>
              <c:multiLvlStrCache>
                <c:ptCount val="13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I</c:v>
                  </c:pt>
                  <c:pt idx="5">
                    <c:v>II</c:v>
                  </c:pt>
                  <c:pt idx="6">
                    <c:v>III</c:v>
                  </c:pt>
                  <c:pt idx="7">
                    <c:v>IV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I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</c:lvl>
              </c:multiLvlStrCache>
            </c:multiLvlStrRef>
          </c:cat>
          <c:val>
            <c:numRef>
              <c:f>Lapas1!$E$31:$Q$31</c:f>
              <c:numCache>
                <c:formatCode>General</c:formatCode>
                <c:ptCount val="13"/>
                <c:pt idx="0">
                  <c:v>38547.269</c:v>
                </c:pt>
                <c:pt idx="1">
                  <c:v>41983.83</c:v>
                </c:pt>
                <c:pt idx="2">
                  <c:v>54525.709000000003</c:v>
                </c:pt>
                <c:pt idx="3">
                  <c:v>51057.256000000001</c:v>
                </c:pt>
                <c:pt idx="4">
                  <c:v>65929.144</c:v>
                </c:pt>
                <c:pt idx="5">
                  <c:v>43097.296000000002</c:v>
                </c:pt>
                <c:pt idx="6">
                  <c:v>29006.353999999999</c:v>
                </c:pt>
                <c:pt idx="7">
                  <c:v>35183.658000000003</c:v>
                </c:pt>
                <c:pt idx="8">
                  <c:v>45037.108</c:v>
                </c:pt>
                <c:pt idx="9">
                  <c:v>36732.917000000001</c:v>
                </c:pt>
                <c:pt idx="10">
                  <c:v>42421.695</c:v>
                </c:pt>
                <c:pt idx="11">
                  <c:v>46620.358</c:v>
                </c:pt>
                <c:pt idx="12">
                  <c:v>41171.680999999997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435504"/>
        <c:axId val="343465424"/>
      </c:barChart>
      <c:lineChart>
        <c:grouping val="standard"/>
        <c:varyColors val="0"/>
        <c:ser>
          <c:idx val="2"/>
          <c:order val="1"/>
          <c:tx>
            <c:strRef>
              <c:f>Lapas1!$A$32:$D$32</c:f>
              <c:strCache>
                <c:ptCount val="4"/>
                <c:pt idx="0">
                  <c:v>Gamintojų kaina (be PVM)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Lapas1!$E$29:$Q$29</c:f>
              <c:numCache>
                <c:formatCode>General</c:formatCode>
                <c:ptCount val="13"/>
                <c:pt idx="0">
                  <c:v>2016</c:v>
                </c:pt>
                <c:pt idx="4">
                  <c:v>2017</c:v>
                </c:pt>
                <c:pt idx="8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Lapas1!$E$32:$Q$32</c:f>
              <c:numCache>
                <c:formatCode>General</c:formatCode>
                <c:ptCount val="13"/>
                <c:pt idx="0">
                  <c:v>0.69</c:v>
                </c:pt>
                <c:pt idx="1">
                  <c:v>0.62</c:v>
                </c:pt>
                <c:pt idx="2">
                  <c:v>0.63</c:v>
                </c:pt>
                <c:pt idx="3">
                  <c:v>0.7</c:v>
                </c:pt>
                <c:pt idx="4">
                  <c:v>0.72</c:v>
                </c:pt>
                <c:pt idx="5">
                  <c:v>0.67</c:v>
                </c:pt>
                <c:pt idx="6">
                  <c:v>0.66</c:v>
                </c:pt>
                <c:pt idx="7">
                  <c:v>0.82</c:v>
                </c:pt>
                <c:pt idx="8">
                  <c:v>0.74</c:v>
                </c:pt>
                <c:pt idx="9">
                  <c:v>0.62</c:v>
                </c:pt>
                <c:pt idx="10">
                  <c:v>0.64</c:v>
                </c:pt>
                <c:pt idx="11">
                  <c:v>0.7</c:v>
                </c:pt>
                <c:pt idx="12">
                  <c:v>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3433872"/>
        <c:axId val="343452368"/>
      </c:lineChart>
      <c:catAx>
        <c:axId val="34343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465424"/>
        <c:crosses val="autoZero"/>
        <c:auto val="1"/>
        <c:lblAlgn val="ctr"/>
        <c:lblOffset val="100"/>
        <c:noMultiLvlLbl val="0"/>
      </c:catAx>
      <c:valAx>
        <c:axId val="343465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tūkst.</a:t>
                </a:r>
                <a:r>
                  <a:rPr lang="lt-LT" baseline="0"/>
                  <a:t> vnt.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2649147601489087E-2"/>
              <c:y val="8.995416493545474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435504"/>
        <c:crosses val="autoZero"/>
        <c:crossBetween val="between"/>
      </c:valAx>
      <c:valAx>
        <c:axId val="343452368"/>
        <c:scaling>
          <c:orientation val="minMax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EUR/10</a:t>
                </a:r>
                <a:r>
                  <a:rPr lang="lt-LT" baseline="0"/>
                  <a:t> vnt.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0142542060456243"/>
              <c:y val="7.582175782398994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433872"/>
        <c:crosses val="max"/>
        <c:crossBetween val="between"/>
      </c:valAx>
      <c:catAx>
        <c:axId val="3434338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43452368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accent3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3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K</a:t>
            </a:r>
            <a:r>
              <a:rPr lang="lt-LT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iaušinių</a:t>
            </a:r>
            <a:r>
              <a:rPr lang="lt-LT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importas ir eksportas Lietuvoje, 2016–2019 m., tūkst. vnt</a:t>
            </a:r>
            <a:r>
              <a:rPr lang="lt-LT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.</a:t>
            </a:r>
            <a:endParaRPr lang="en-US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8859869882519825E-2"/>
          <c:y val="0.1076388888888889"/>
          <c:w val="0.91102124580106503"/>
          <c:h val="0.704606299212598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Lapas1!$B$82</c:f>
              <c:strCache>
                <c:ptCount val="1"/>
                <c:pt idx="0">
                  <c:v>Importas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Lapas1!$C$80:$AC$81</c:f>
              <c:multiLvlStrCache>
                <c:ptCount val="2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</c:lvl>
              </c:multiLvlStrCache>
            </c:multiLvlStrRef>
          </c:cat>
          <c:val>
            <c:numRef>
              <c:f>Lapas1!$C$82:$AC$82</c:f>
              <c:numCache>
                <c:formatCode>General</c:formatCode>
                <c:ptCount val="27"/>
                <c:pt idx="0">
                  <c:v>7422.99</c:v>
                </c:pt>
                <c:pt idx="1">
                  <c:v>6009.5129999999999</c:v>
                </c:pt>
                <c:pt idx="2">
                  <c:v>16262.657999999999</c:v>
                </c:pt>
                <c:pt idx="3">
                  <c:v>14443.505999999999</c:v>
                </c:pt>
                <c:pt idx="4">
                  <c:v>12082.376</c:v>
                </c:pt>
                <c:pt idx="5">
                  <c:v>11778.727999999999</c:v>
                </c:pt>
                <c:pt idx="6">
                  <c:v>13368.867</c:v>
                </c:pt>
                <c:pt idx="7">
                  <c:v>13411.163</c:v>
                </c:pt>
                <c:pt idx="8">
                  <c:v>19747.009999999998</c:v>
                </c:pt>
                <c:pt idx="9">
                  <c:v>13074.906999999999</c:v>
                </c:pt>
                <c:pt idx="10">
                  <c:v>14868.281999999999</c:v>
                </c:pt>
                <c:pt idx="11">
                  <c:v>19831.026000000002</c:v>
                </c:pt>
                <c:pt idx="12">
                  <c:v>13731.813</c:v>
                </c:pt>
                <c:pt idx="13">
                  <c:v>12783.745000000001</c:v>
                </c:pt>
                <c:pt idx="14">
                  <c:v>19721.987000000001</c:v>
                </c:pt>
                <c:pt idx="15">
                  <c:v>12735.451999999999</c:v>
                </c:pt>
                <c:pt idx="16">
                  <c:v>15526.39</c:v>
                </c:pt>
                <c:pt idx="17">
                  <c:v>11187.13</c:v>
                </c:pt>
                <c:pt idx="18">
                  <c:v>10629.307000000001</c:v>
                </c:pt>
                <c:pt idx="19">
                  <c:v>12017.806</c:v>
                </c:pt>
                <c:pt idx="20">
                  <c:v>13937.936</c:v>
                </c:pt>
                <c:pt idx="21">
                  <c:v>15666.858</c:v>
                </c:pt>
                <c:pt idx="22">
                  <c:v>18259.822</c:v>
                </c:pt>
                <c:pt idx="23">
                  <c:v>17324.955000000002</c:v>
                </c:pt>
                <c:pt idx="24">
                  <c:v>15076.94</c:v>
                </c:pt>
                <c:pt idx="25">
                  <c:v>19404.194</c:v>
                </c:pt>
                <c:pt idx="26">
                  <c:v>21762.046999999999</c:v>
                </c:pt>
              </c:numCache>
            </c:numRef>
          </c:val>
        </c:ser>
        <c:ser>
          <c:idx val="1"/>
          <c:order val="1"/>
          <c:tx>
            <c:strRef>
              <c:f>Lapas1!$B$83</c:f>
              <c:strCache>
                <c:ptCount val="1"/>
                <c:pt idx="0">
                  <c:v>Ekportas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Lapas1!$C$80:$AC$81</c:f>
              <c:multiLvlStrCache>
                <c:ptCount val="2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</c:lvl>
              </c:multiLvlStrCache>
            </c:multiLvlStrRef>
          </c:cat>
          <c:val>
            <c:numRef>
              <c:f>Lapas1!$C$83:$AC$83</c:f>
              <c:numCache>
                <c:formatCode>General</c:formatCode>
                <c:ptCount val="27"/>
                <c:pt idx="0">
                  <c:v>18519.18</c:v>
                </c:pt>
                <c:pt idx="1">
                  <c:v>14855.51</c:v>
                </c:pt>
                <c:pt idx="2">
                  <c:v>14324.13</c:v>
                </c:pt>
                <c:pt idx="3">
                  <c:v>14507.458000000001</c:v>
                </c:pt>
                <c:pt idx="4">
                  <c:v>13823.97</c:v>
                </c:pt>
                <c:pt idx="5">
                  <c:v>13831.54</c:v>
                </c:pt>
                <c:pt idx="6">
                  <c:v>12675.53</c:v>
                </c:pt>
                <c:pt idx="7">
                  <c:v>11059.63</c:v>
                </c:pt>
                <c:pt idx="8">
                  <c:v>8935.06</c:v>
                </c:pt>
                <c:pt idx="9">
                  <c:v>11777.32</c:v>
                </c:pt>
                <c:pt idx="10">
                  <c:v>9877.25</c:v>
                </c:pt>
                <c:pt idx="11">
                  <c:v>12383.727999999999</c:v>
                </c:pt>
                <c:pt idx="12">
                  <c:v>10955.415999999999</c:v>
                </c:pt>
                <c:pt idx="13">
                  <c:v>12873.286</c:v>
                </c:pt>
                <c:pt idx="14">
                  <c:v>17828.083999999999</c:v>
                </c:pt>
                <c:pt idx="15">
                  <c:v>14642.216</c:v>
                </c:pt>
                <c:pt idx="16">
                  <c:v>18074.421999999999</c:v>
                </c:pt>
                <c:pt idx="17">
                  <c:v>19328.45</c:v>
                </c:pt>
                <c:pt idx="18">
                  <c:v>13434.81</c:v>
                </c:pt>
                <c:pt idx="19">
                  <c:v>14516.06</c:v>
                </c:pt>
                <c:pt idx="20">
                  <c:v>13091.46</c:v>
                </c:pt>
                <c:pt idx="21">
                  <c:v>10844.915000000001</c:v>
                </c:pt>
                <c:pt idx="22">
                  <c:v>11741.55</c:v>
                </c:pt>
                <c:pt idx="23">
                  <c:v>12712.3</c:v>
                </c:pt>
                <c:pt idx="24">
                  <c:v>15667.94</c:v>
                </c:pt>
                <c:pt idx="25">
                  <c:v>14810.44</c:v>
                </c:pt>
                <c:pt idx="26">
                  <c:v>18632.633999999998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3463792"/>
        <c:axId val="343444208"/>
      </c:barChart>
      <c:catAx>
        <c:axId val="34346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444208"/>
        <c:crosses val="autoZero"/>
        <c:auto val="1"/>
        <c:lblAlgn val="ctr"/>
        <c:lblOffset val="100"/>
        <c:noMultiLvlLbl val="0"/>
      </c:catAx>
      <c:valAx>
        <c:axId val="343444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3463792"/>
        <c:crosses val="autoZero"/>
        <c:crossBetween val="between"/>
      </c:valAx>
      <c:spPr>
        <a:noFill/>
        <a:ln>
          <a:solidFill>
            <a:schemeClr val="accent3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3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0.0366</cdr:x>
      <cdr:y>0.84545</cdr:y>
    </cdr:from>
    <cdr:to>
      <cdr:x>0.14875</cdr:x>
      <cdr:y>0.97828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8450" y="3213100"/>
          <a:ext cx="914400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lt-LT" sz="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0.0366</cdr:x>
      <cdr:y>0.84545</cdr:y>
    </cdr:from>
    <cdr:to>
      <cdr:x>0.14875</cdr:x>
      <cdr:y>0.97828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00855" y="3945927"/>
          <a:ext cx="921881" cy="6199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lt-LT" sz="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0.0366</cdr:x>
      <cdr:y>0.84545</cdr:y>
    </cdr:from>
    <cdr:to>
      <cdr:x>0.14875</cdr:x>
      <cdr:y>0.97828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0855" y="3945927"/>
          <a:ext cx="921881" cy="6199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0.0366</cdr:x>
      <cdr:y>0.84545</cdr:y>
    </cdr:from>
    <cdr:to>
      <cdr:x>0.14875</cdr:x>
      <cdr:y>0.97828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00855" y="3945927"/>
          <a:ext cx="921881" cy="6199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0.0366</cdr:x>
      <cdr:y>0.84545</cdr:y>
    </cdr:from>
    <cdr:to>
      <cdr:x>0.14875</cdr:x>
      <cdr:y>0.97828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00855" y="3945927"/>
          <a:ext cx="921881" cy="6199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0.0366</cdr:x>
      <cdr:y>0.84545</cdr:y>
    </cdr:from>
    <cdr:to>
      <cdr:x>0.14875</cdr:x>
      <cdr:y>0.97828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00855" y="3945927"/>
          <a:ext cx="921881" cy="6199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0.0366</cdr:x>
      <cdr:y>0.84545</cdr:y>
    </cdr:from>
    <cdr:to>
      <cdr:x>0.14875</cdr:x>
      <cdr:y>0.97828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8450" y="3213100"/>
          <a:ext cx="914400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lt-LT" sz="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0.0366</cdr:x>
      <cdr:y>0.84545</cdr:y>
    </cdr:from>
    <cdr:to>
      <cdr:x>0.14875</cdr:x>
      <cdr:y>0.97828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00855" y="3945927"/>
          <a:ext cx="921881" cy="6199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lt-LT" sz="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0.01991</cdr:x>
      <cdr:y>0.87229</cdr:y>
    </cdr:from>
    <cdr:to>
      <cdr:x>0.12611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1450" y="3448050"/>
          <a:ext cx="914400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800"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0.0366</cdr:x>
      <cdr:y>0.84545</cdr:y>
    </cdr:from>
    <cdr:to>
      <cdr:x>0.14875</cdr:x>
      <cdr:y>0.97828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00855" y="3945927"/>
          <a:ext cx="921881" cy="6199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lt-LT" sz="8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0.00521</cdr:y>
    </cdr:from>
    <cdr:to>
      <cdr:x>0.10288</cdr:x>
      <cdr:y>0.09635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19050"/>
          <a:ext cx="71437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lt-LT" sz="1100"/>
            <a:t>tūkst. vnt.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6713-AF2E-4ED9-B737-876AF5C6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Žukauskaitė</dc:creator>
  <cp:keywords/>
  <dc:description/>
  <cp:lastModifiedBy>Agata Kairytė</cp:lastModifiedBy>
  <cp:revision>2</cp:revision>
  <cp:lastPrinted>2019-02-11T10:27:00Z</cp:lastPrinted>
  <dcterms:created xsi:type="dcterms:W3CDTF">2019-05-15T11:35:00Z</dcterms:created>
  <dcterms:modified xsi:type="dcterms:W3CDTF">2019-05-15T11:35:00Z</dcterms:modified>
</cp:coreProperties>
</file>