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4356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56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  <w:br w:type="textWrapping"/>
        <w:t xml:space="preserve">*kainos (EUR) pateiktos pagal atitinkamos datos ECB valiutų santykį</w:t>
        <w:br w:type="textWrapping"/>
        <w:t xml:space="preserve">** lyginant 2018 m. 11 savaitę su 2018 m. 10 savaite</w:t>
        <w:br w:type="textWrapping"/>
        <w:t xml:space="preserve">*** lyginant 2018 m. 11 savaitę su 2017 m. 11 savaite</w:t>
        <w:br w:type="textWrapping"/>
        <w:t xml:space="preserve">… – nėra duomenų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