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51 savaitę didmeninėje prekyboje vidutinės degalų kainos mažėjo arba nekito. Didmeninė dyzelino kaina analizuojamu laikotarpiu sumažėjo 0,4 proc., benzino A-95 – 0,8 proc., dyzelino žemės ūkiui – 0,5 proc., automobilių dujų – 9,7 proc., o krosnių kuro – nepasikeitė. Palyginti su 2020 m. atitinkamu laikotarpiu didmeninė dyzelino kaina padidėjo 34,0 proc., dyzelino žemės ūkiui – 58,5 proc., automobilių dujų – 30,6 proc., benzino A-95 – 32,1 proc., o krosnių kuro – 73,8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51 savaitę vidutinės degalų kainos mažėjo arba nekito. Mažmeninė dyzelino žemės ūkiui kaina analizuojamu laikotarpiu sumažėjo 0,9 proc., benzino A-95 – 0,3 proc., automobilių dujų – 2,0 proc., o dyzelino – nepasikeitė. Palyginti su 2020 m. atitinkamu laikotarpiu mažmeninė dyzelino kaina padidėjo 41,2 proc., dyzelino žemės ūkiui – 68,1 proc., benzino A-95 – 38,6 proc., o  automobilių dujų – 45,4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69,21 USD už barelį, o pabaigoje ji kainavo apie 72,68 USD už barelį. 2021 m. 51 savaitę šviesiosios naftos kaina šioje biržoje padidėjo 5,0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51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8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51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