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38 savaitę didmeninėje prekyboje vidutinės degalų kainos didėjo. Didmeninė dyzelino kaina analizuojamu laikotarpiu padidėjo 1,4 proc., automobilių dujų – 2,9 proc., dyzelino žemės ūkiui – 3,2 proc., krosnių kuro – 1,6 proc., o benzino A-95 – 0,2 proc. Palyginti su 2020 m. atitinkamu laikotarpiu didmeninė dyzelino kaina padidėjo 33,3 proc., dyzelino žemės ūkiui – 61,7 proc., automobilių dujų – 51,2 proc., benzino A-95 – 22,6 proc., o krosnių kuro – 56,1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38 savaitę vidutinės degalų kainos didėjo. Mažmeninė dyzelino žemės ūkiui kaina analizuojamu laikotarpiu padidėjo 1,6 proc., dyzelino – 0,5 proc., automobilių dujų – 2,4 proc., o benzino A-95 – 1,1 proc. Palyginti su 2020 m. atitinkamu laikotarpiu mažmeninė dyzelino kaina padidėjo 25,9 proc., dyzelino žemės ūkiui – 43,9 proc., benzino A-95 – 22,2 proc., o  automobilių dujų – 29,9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70,43 USD už barelį, o pabaigoje ji kainavo apie 73,46 USD už barelį. 2021 m. 38 savaitę šviesiosios naftos kaina šioje biržoje padidėjo 4,3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21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71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