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2021 m. 23 savaitę didmeninėje prekyboje vidutinės degalų kainos didėjo. Didmeninė dyzelino žemės ūkiui kaina analizuojamu laikotarpiu padidėjo 2,0 proc., krosnių kuro – 1,8 proc., benzino A-95 – 0,4 proc., automobilių dujų – 2,9 proc., o dyzelino – 2,0 proc. Palyginti su 2020 m. atitinkamu laikotarpiu didmeninė dyzelino kaina padidėjo 28,8 proc., dyzelino žemės ūkiui – 51,5 proc., automobilių dujų – 14,5 proc., benzino A-95 – 25,6 proc., o krosnių kuro – 28,9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Mažmeninėje prekyboje 2021 m. 23 savaitę vidutinės degalų (išskyrus automobilių dujų) kainos taip pat didėjo. Mažmeninė dyzelino kaina analizuojamu laikotarpiu padidėjo 0,6 proc., dyzelino žemės ūkiui – 2,0 proc., benzino A-95 – 0,2 proc., o automobilių dujų – sumažėjo 1,8 proc. Palyginti su 2020 m. atitinkamu laikotarpiu mažmeninė dyzelino kaina padidėjo 24,3 proc., dyzelino žemės ūkiui – 44,8 proc., benzino A-95 – 22,5 proc., o  automobilių dujų – 18,2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69,29 USD už barelį, o pabaigoje ji kainavo apie 70,08 USD už barelį. 2021 m. 23 savaitę šviesiosios naftos kaina šioje biržoje padidėjo 1,1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Vidutinės degalų kainos Lietuvos rinkoje 2021 m. 23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660900" cy="35560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0900" cy="355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23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84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ŽŪIKVC (LŽŪMPRIS) duomenis, būtina nurodyti šaltinį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