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21 savaitę didmeninėje prekyboje vidutinės degalų (išskyrus dyzelino) kainos mažėjo. Didmeninė dyzelino žemės ūkiui kaina analizuojamu laikotarpiu sumažėjo 0,15 proc., krosnių kuro – 1,8 proc., benzino A-95 – 0,1 proc., automobilių dujų – 1,6 proc., o dyzelino – nepasikeitė. Palyginti su 2020 m. atitinkamu laikotarpiu didmeninė dyzelino kaina padidėjo 27,2 proc., dyzelino žemės ūkiui – 50,0 proc., automobilių dujų – 23,9 proc., benzino A-95 – 23,5 proc., o krosnių kuro – 30,9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21 savaitę vidutinės degalų kainos mažėjo. Mažmeninė dyzelino kaina analizuojamu laikotarpiu sumažėjo 0,1 proc., dyzelino žemės ūkiui – 0,6 proc., benzino A-95 – 0,25 proc., o automobilių dujų – 0,35 proc. Palyginti su 2020 m. atitinkamu laikotarpiu mažmeninė dyzelino kaina padidėjo 33,6 proc., dyzelino žemės ūkiui – 50,2 proc., benzino A-95 – 29,4 proc., o  automobilių dujų – 42,0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66,02 USD už barelį, o pabaigoje ji kainavo apie 65,73 USD už barelį. 2021 m. 21 savaitę šviesiosios naftos kaina šioje biržoje sumažėjo 0,4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16600" cy="4406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40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20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