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47 savaitę didmeninėje prekyboje vidutinės degalų (išskyrus benzino A-95) kainos didėjo. Didmeninė dyzelino žemės ūkiui kaina analizuojamu laikotarpiu padidėjo 1,5 proc., dyzelino – 0,8 proc., automobilių dujų – 0,5 proc., krosnių kuro – 2,6 proc., o benzino A-95 – sumažėjo 0,5 proc. Palyginti su 2019 m. atitinkamu laikotarpiu didmeninė dyzelino kaina sumažėjo 17,3 proc., dyzelino žemės ūkiui – 30,4 proc., krosnių kuro – 40,9 proc., benzino A-95 – 12,5 proc., o automobilių dujų – 13,8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47 savaitę vidutinės degalų kainos didėjo arba nekito. Mažmeninė dyzelino kaina analizuojamu laikotarpiu padidėjo 0,3 proc., benzino A-95 – 0,1 proc., dyzelino žemės ūkiui – 0,8 proc., o automobilių dujų – nepasikeitė. Palyginti su 2019 m. atitinkamu laikotarpiu mažmeninė benzino A-95 kaina sumažėjo 14,1 proc., dyzelino žemės ūkiui – 36,0 proc., dyzelino – 21,6 proc., o automobilių dujų – 12,1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41,44 USD už barelį, o pabaigoje ji kainavo apie 42,05 USD už barelį. 2020 m. 47 savaitę šviesiosios naftos kaina šioje biržoje padidėjo 1,5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47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38700" cy="37211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47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