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39 savaitę didmeninėje prekyboje vidutinės degalų kainos didėjo arba nekito. Didmeninė dyzelino kaina analizuojamu laikotarpiu padidėjo 1,2 proc., dyzelino žemės ūkiui – 5,9 proc., benzino A-95 – 1,6 proc., automobilių dujų –0,3 proc., o krosnių kuro – nepasikeitė. Palyginti su 2019 m. atitinkamu laikotarpiu didmeninė dyzelino kaina sumažėjo 21,6 proc., dyzelino žemės ūkiui – 36,3 proc., krosnių kuro – 41,8 proc., benzino A-95 – 8,5 proc., o automobilių dujų – 4,8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39 savaitę vidutinės degalų kainos kito įvairiai. Mažmeninė dyzelino kaina analizuojamu laikotarpiu sumažėjo 1,1 proc., benzino A-95 – 0,1 proc., automobilių dujų – 0,6 proc., o dyzelino žemės ūkiui – padidėjo 0,4 proc. Palyginti su 2019 m. atitinkamu laikotarpiu mažmeninė benzino A-95 kaina sumažėjo 14,8 proc., dyzelino žemės ūkiui – 32,4 proc., dyzelino –18,5 proc., o automobilių dujų – 2,3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39,84 USD už barelį, o pabaigoje ji kainavo apie 39,69 USD už barelį. 2020 m. 39 savaitę šviesiosios naftos kaina šioje biržoje sumažėjo 0,4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89500" cy="37592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75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955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