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35 savaitę didmeninėje prekyboje vidutinės degalų kainos kito įvairiai. Didmeninė benzino A-95 kaina analizuojamu laikotarpiu padidėjo 0,8 proc., automobilių dujų – 1,5 proc., dyzelino ir dyzelino žemės ūkiui – sumažėjo, atitinkamai 1,4 ir 2,6 proc., o krosnių kuro – nepasikeitė. Palyginti su 2019 m. atitinkamu laikotarpiu didmeninė dyzelino kaina sumažėjo 15,4 proc., dyzelino žemės ūkiui – 28,0 proc., krosnių kuro – 32,3 proc., benzino A-95 – 6,8 proc., o automobilių dujų – 1,2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35 savaitę vidutinės degalų kainos mažėjo arba nekito. Mažmeninė dyzelino kaina analizuojamu laikotarpiu sumažėjo 1,1 proc., benzino A-95 – 0,4 proc., automobilių dujų – 0,8 proc., o dyzelino žemės ūkiui – nepasikeitė. Palyginti su 2019 m. atitinkamu laikotarpiu mažmeninė benzino A-95 kaina sumažėjo 15,0 proc., dyzelino žemės ūkiui – 28,0 proc., dyzelino –18,8 proc., o automobilių dujų – padidėjo 0,4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42,36 USD už barelį, o pabaigoje ji kainavo apie 42,84 USD už barelį. 2020 m. 35 savaitę šviesiosios naftos kaina šioje biržoje padidėjo 1,1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35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76800" cy="3683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35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