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26 savaitę didmeninėje prekyboje vidutinės degalų (išskyrus automobilių dujų) kainos didėjo. Didmeninė dyzelino kaina analizuojamu laikotarpiu padidėjo 3,0 proc., krosnių kuro – 4,3 proc., benzino A-95 – 3,6 proc., dyzelino žemės ūkiui – 5,4 proc., o automobilių dujų – sumažėjo 2,8 proc. Palyginti su 2019 m. atitinkamu laikotarpiu didmeninė dyzelino kaina sumažėjo 16,7 proc., dyzelino žemės ūkiui – 27,9 proc., krosnių kuro – 24,6 proc., benzino A-95 – 11,2 proc., o automobilių dujų – padidėjo 2,3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26 savaitę vidutinės degalų kainos didėjo. Mažmeninė dyzelino žemės ūkiui kaina analizuojamu laikotarpiu padidėjo 1,1 proc., benzino A-95 – 3,0 proc., automobilių dujų – 0,4 proc., o dyzelino – 3,6 proc. Palyginti su 2019 m. atitinkamu laikotarpiu mažmeninė benzino A-95 kaina sumažėjo 17,8 proc., dyzelino žemės ūkiui – 30,8 proc., dyzelino – 19,8 proc., o automobilių dujų – 3,6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40,68 USD už barelį, o pabaigoje ji kainavo apie 37,74 USD už barelį. 2020 m. 26 savaitę šviesiosios naftos kaina šioje biržoje sumažėjo 7,2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708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