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24 savaitę didmeninėje prekyboje vidutinės degalų kainos didėjo. Didmeninė dyzelino kaina analizuojamu laikotarpiu padidėjo 2,0 proc., krosnių kuro – 2,2 proc., automobilių dujų – 9,1 proc., dyzelino žemės ūkiui – 4,5 proc., o benzino A-95 – 3,6 proc. Palyginti su 2019 m. atitinkamu laikotarpiu didmeninė dyzelino kaina sumažėjo 16,5 proc., dyzelino žemės ūkiui – 28,6 proc., krosnių kuro – 25,9 proc., benzino A-95 – 12,2 proc., o automobilių dujų – padidėjo 4,6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24 savaitę vidutinės degalų kainos didėjo. Mažmeninė dyzelino kaina analizuojamu laikotarpiu padidėjo 2,9 proc., benzino A-95 – 2,7 proc., automobilių dujų – 2,1 proc., o dyzelino žemės ūkiui – 2,1 proc. Palyginti su 2019 m. atitinkamu laikotarpiu mažmeninė benzino A-95 kaina sumažėjo 20,5 proc., dyzelino žemės ūkiui – 32,2 proc., dyzelino – 22,7 proc., o automobilių dujų – 8,8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didėjo.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38,22 USD už barelį, o pabaigoje ji kainavo apie 36,57 USD už barelį. 2020 m. 24 savaitę šviesiosios naftos kaina šioje biržoje sumažėjo 4,4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24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4330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3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24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