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21 savaitę didmeninėje prekyboje vidutinės degalų kainos didėjo. Didmeninė dyzelino kaina analizuojamu laikotarpiu padidėjo 6,0 proc., dyzelino žemės ūkiui – 11,9 proc., benzino A-95 – 5,4 proc., automobilių dujų – 8,1 proc., o krosnių kuro – 10,5 proc. Palyginti su 2019 m. atitinkamu laikotarpiu didmeninė dyzelino kaina sumažėjo 26,2 proc., dyzelino žemės ūkiui – 41,4 proc., krosnių kuro – 40,9 proc., automobilių dujų – 22,1 proc., o benzino A-95 – 24,0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21 savaitę vidutinės degalų kainos didėjo. Mažmeninė dyzelino kaina analizuojamu laikotarpiu padidėjo 1,9 proc., benzino A-95 – 1,7 proc., automobilių dujų – 5,8 proc., o dyzelino žemės ūkiui – 3,2 proc. Palyginti su 2019 m. atitinkamu laikotarpiu mažmeninė benzino A-95 kaina sumažėjo 26,5 proc., dyzelino žemės ūkiui – 42,5 proc., dyzelino – 32,1 proc., o automobilių dujų – 31,1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32,39 USD už barelį, o pabaigoje ji kainavo apie 33,88 USD už barelį. 2020 m. 21 savaitę šviesiosios naftos kaina šioje biržoje padidėjo 4,6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21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721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21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