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18 savaitę didmeninėje prekyboje vidutinės degalų kainos kito įvairiai. Didmeninė dyzelino kaina analizuojamu laikotarpiu sumažėjo 1,4 proc., dyzelino žemės ūkiui – 3,7 proc., benzino A-95 ir automobilių dujų – padidėjo, atitinkamai 0,7 proc. ir 3,2 proc., o krosnių kuro – nepasikeitė Palyginti su 2019 m. atitinkamu laikotarpiu didmeninė dyzelino kaina sumažėjo 30,6 proc., dyzelino žemės ūkiui – 49,3 proc., krosnių kuro – 50,0 proc., automobilių dujų – 36,0 proc., o benzino A-95 – 31,5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18 savaitę vidutinės degalų kainos mažėjo. Mažmeninė dyzelino kaina analizuojamu laikotarpiu sumažėjo 4,7 proc., benzino A-95 – 3,5 proc., automobilių dujų – 4,1 proc., o dyzelino žemės ūkiui – 6,6 proc. Palyginti su 2019 m. atitinkamu laikotarpiu mažmeninė benzino A-95 kaina sumažėjo 27,0 proc., dyzelino žemės ūkiui – 41,0 proc., dyzelino – 32,7 proc., o automobilių dujų – 34,2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mažėjo.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12,96 USD už barelį, o pabaigoje ji kainavo apie 14,23 USD už barelį. 2020 m. 18 savaitę šviesiosios naftos kaina šioje biržoje padidėjo 9,7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18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13300" cy="3670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67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18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