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7 savaitę benzinas A-95 Suomijoje pabrango 5,8 proc., Rumunijoje–2,9 proc., Švedijoje–2,2 proc., o Bosnijoje-Hercegovinoje atpigo 4,3 proc. Dyzelinas analizuojamu laikotarpiu Suomijoje pabrango 5,9 proc., Slovakijoje–2,5 proc., Danijoje–2,4 proc., o Estijoje atpigo 3,0 proc.</w:t>
        <w:br w:type="textWrapping"/>
        <w:t xml:space="preserve">Per analizuojamą laikotarpį (5–7 savaites) benzinas A-95 Moldovoje pabrango 6,6 proc., Suomijoje–4,3 proc., Rumunijoje–3,8 proc., o Bosnijoje-Hercegovinoje atpigo 4,3 proc. Dyzelinas analizuojamu laikotarpiu Suomijoje pabrango 4,3 proc., Moldovoje–3,6 proc., Makedonijoje–3,2 proc., o Rumunijoje atpigo 3,3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5–7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34125" cy="71104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7110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