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44 savaitę benzinas A-95 Liuksemburge pabrango 1,7 proc., Vokietijoje–1,5 proc., Danijoje–1,4 proc., o Argentinoje atpigo 5,1 proc. Dyzelinas analizuojamu laikotarpiu Brazilijoje pabrango 2,4 proc., Rusijoje–1,5 proc., JAV–1,4 proc., o Argentinoje atpigo 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(42–44 savaites) benzinas A-95 Brazilijoje pabrango 4,2 proc., Turkijoje–2,9 proc., Estijoje–2,3 proc., o Argentinoje atpigo 5,1 proc. Dyzelinas analizuojamu laikotarpiu Brazilijoje pabrango 5,0 proc., Turkijoje–4,1 proc., o Argentinoje atpigo 5,6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42–44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0350" cy="7596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7596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