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36 savaitę benzinas A-95 Meksikoje pabrango 2,1 proc., Peru–2,1 proc., Turkijoje–1,9 proc., o Argentinoje atpigo 23,2 proc. Dyzelinas analizuojamu laikotarpiu Meksikoje pabrango 3,2 proc., Makedonijoje–3,1 proc., Peru–2,3 proc., o Argentinoje atpigo 23,9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(34–36 savaites) benzinas A-95 Estijoje pabrango 8,3 proc., Peru–6,1 proc., Čekijoje–4,2 proc., o Argentinoje atpigo 23,2 proc. Dyzelinas analizuojamu laikotarpiu Estijoje pabrango 10,3 proc., Peru–4,7 proc., Turkijoje–3,1 proc., o Argentinoje atpigo 23,9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34–36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7396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396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