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35 savaitę benzinas A-95 Estijoje pabrango 9,9 proc., Čekijoje–5,0 proc., Peru–4,1 proc., o Suomijoje atpigo 5,0 proc. Dyzelinas analizuojamu laikotarpiu Estijoje pabrango 12,9 proc., Peru–2,3 proc., Liuksemburge–1,9 proc., o Suomijoje atpigo 5,0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(33–35 savaites) benzinas A-95 Didžiojoje Britanijoje pabrango 2,2 proc., Prancūzijoje–1,3 proc., Airjoje ir Danijoje–0,7 proc., o Vengrijoje atpigo 7,3 proc. Dyzelinas analizuojamu laikotarpiu Danijoje pabrango 4,0 proc., Didžiojoje Britanijoje ir Švedijoje–2,1 proc., Belgijoje–2,0 proc., o Bosnijoje-Hercegovinoje atpigo 4,9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33–35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29350" cy="70723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7072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