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30 savaitę benzinas A-95 Japonijoje pabrango 0,8 proc., Šveicarijoje–0,7 proc., o Norvegijoje atpigo 1,1 proc. Dyzelinas analizuojamu laikotarpiu nepabrango nei vienoje šalyje, o Švedijoje atpigo 0,7 proc.</w:t>
        <w:br w:type="textWrapping"/>
        <w:t xml:space="preserve">Per analizuojamą laikotarpį (28–30 savaites) benzinas A-95 Šveicarijoje pabrango 7,9 proc., Liuksemburge–3,3 proc., Kroatijoje ir Slovėnijoje–3,1 proc., o Ukrainoje atpigo 4,9 proc. Dyzelinas analizuojamu laikotarpiu Šveicarijoje pabrango 7,5 proc., Turkijoje–2,0 proc., Lietuvoje–1,9 proc., o Ukrainoje atpigo 5,0 proc.</w:t>
        <w:br w:type="textWrapping"/>
        <w:t xml:space="preserve">Degalų kainos ES ir kitų šalių rinkose 2019 m. 28–30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86563" cy="76390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6563" cy="763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