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29 savaitę benzinas A-95 Šveicarijoje pabrango 7,1 proc., Liuksemburge–3,3 proc., Kroatijoje ir Slovėnijoje–3,1 proc., o Ukrainoje atpigo 4,9 proc. Dyzelinas analizuojamu laikotarpiu Šveicarijoje pabrango 7,5 proc., Turkijoje–2,0 proc., Lietuvoje–1,9 proc., o Ukrainoje atpigo 5,0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(27–29 savaites) benzinas A-95 Šveicarijoje pabrango 7,9 proc., Liuksemburge–3,3 proc., Kroatijoje ir Slovėnijoje–3,1 proc., o Ukrainoje atpigo 4,9 proc. Dyzelinas analizuojamu laikotarpiu Šveicarijoje pabrango 7,5 proc., Brazilijoje–2,4 proc., Lietuvoje–1,9 proc., o Ukrainoje atpigo 5,0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27–29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00825" cy="6958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958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