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2019 m. 21 savaitę benzinas A-95 nepabrango nei vienoje šalyje, o JAV atpigo 1,5 proc. Dyzelinas analizuojamu laikotarpiu Rusijoje pabrango 1,6 proc., Turkijoje–1,1 proc., Meksikoje–1,0 proc., o Japonijoje atpigo 0,9 proc.</w:t>
        <w:br w:type="textWrapping"/>
        <w:t xml:space="preserve">Per analizuojamą laikotarpį (19–21 savaites) benzinas A-95 Rumunijoje pabrango 4,4 proc., Švedijoje–2,0 proc., Turkijoje–1,9 proc., o Suomijoje atpigo 5,5 proc. Dyzelinas analizuojamu laikotarpiu Rumunijoje pabrango 3,4 proc., Turkijoje–2,1 proc., Švedijoje–2,0 proc., o Suomijoje atpigo 4,8 proc.</w:t>
        <w:br w:type="textWrapping"/>
      </w: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2019 m. 19–21 savaitėmis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43675" cy="71294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7129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  <w:br w:type="textWrapping"/>
        <w:t xml:space="preserve">Parengė R. Zinkevičius, tel. (8 37) 397076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