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Per pirmuosius šių metų du mėnesius Lietuvos įmonėse buvo paskersta 1,632 tūkst. avių – tai apie 1,5 karto daugiau, palyginti su 2019 m. tuo pačiu laikotarpiu. Iš to skaičiaus 83,58 proc. avių buvo paskerstos grąžintinais pagrindais. Šiuo laikotarpiu avių, vyresnių kaip 12 mėn., skerdimai padidėjo apie 1,9 karto (iki 1,209 tūkst. vnt.), o ėriukų (iki 12 mėn. amžiaus) skerdimai sumažėjo 1,86 proc. (iki 423 vnt.). Daugiausia Lietuvoje paskerdžiama avių vyresnių kaip 12 mėn. (apie 74,08 proc. nuo visų avių skerdimų skaičiaus). 2020 m. sausio–vasario mėn. avienos skerdenų gamyba, palyginti su 2019 m. analogišku laikotarpiu, padidėjo 38,67 proc. ir sudarė 29,017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vidutinė supirktų avių kaina sudarė 444,10 EUR/100 kg (skerdenų svorio) ir 139,70 EUR/100 kg (gyvojo svorio), tai atitinkamai 1,71 proc. ir 3,80 proc. mažesnės kainos nei 2019 m. sausio–vasario mėn.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Naudojant ŽŪIKVC (LŽŪMPRIS) duomenis, būtina nurodyti šaltinį.</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2020-04-17</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4/17/2020-m-sausio-vasario-men-lietuvos-imonese-padidejo-aviu-skerdimai/"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