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77,147 tūkst. t mėsos* – 3,49 proc. daugiau, palyginti su 2019 m. tuo pačiu laikotarpiu. Per šių metų aštuonis mėn. kiaulienos gamyba padidėjo 6,03 proc. (iki 49,602 tūkst. t), avienos – 35,94 proc. (iki 119,125 t), o galvijienos – sumažėjo 0,90 proc. (iki 27,427 tūkst. t). Subproduktų** gamyba sudarė 9,396 tūkst. t ir, palyginti su 2019 m. tuo pačiu laikotarpiu, padidėjo 2,61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sausio–rugpjūčio mėn. dešrų*** gamyba Lietuvoje, palyginti su 2019 m. analogišku laikotarpiu, padidėjo 0,92 proc. ir sudarė 36,367 tūkst. 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2020-10-02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0/02/2020-m-sausio-rugpjucio-men-palyginti-su-2019-m-tuo-paciu-laikotarpiu-lietuvoje-padidejo-mesos-gamyba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