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Lietuvos įmonėse buvo paskersta 6,494 tūkst. avių – apie 40,41 proc. daugiau, palyginti su 2019 m. tuo pačiu laikotarpiu. Iš to skaičiaus 87,39 proc. avių Lietuvos skerdyklose buvo paskerstos grąžintinais pagrindais. Šiuo laikotarpiu avių (vyresnių kaip 12 mėn.) skerdimai išaugo 66,22 proc. (iki 5,241 tūkst. vnt.), tačiau ėriukų (iki 12 mėn. amžiaus) skerdimai sumažėjo 14,88 proc. (iki 1,253 tūkst. vnt.). 2020 m. sausio–rugpjūčio mėn. avienos skerdenų gamyba, palyginti su 2019 m. analogišku laikotarpiu, padidėjo 35,94 proc. ir sudarė 119,125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vidutinė supirktų avių kaina sudarė 459,22 EUR/100 kg (skerdenų svorio) ir 149,20 EUR/100 kg (gyvojo svorio), tai atitinkamai 6,20 proc. ir 5,46 proc. didesnės kainos nei 2019 m. sausio–rugpjūčio mėn.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Naudojant ŽŪIKVC (LŽŪMPRIS) duomenis, būtina nurodyti šaltinį</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2020-09-29</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29/2020-m-sausio-rugpjucio-men-lietuvos-imonese-isaugo-aviu-skerdimu-skaicius/"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