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2019 m. sausio–kovo mėn. Lietuvoje buvo pagaminta 197,16 tūkst. t kombinuotųjų pašarų, tai 8,1 proc. (17,47 tūkst. t) mažiau nei 2018 m. tuo pačiu laikotarpiu. Analizuojamu laikotarpiu mišinių kiaulėms gamyba padidėjo 6,8 proc. (3,38 tūkst. t), tam įtakos galėjo turėti didėjanti kiaulienos kaina. Šių metų sausio–kovo mėn., palyginti su 2018 m. tuo pačiu laikotarpiu, ėdalo šunims gamyba didėjo 6,7 proc. (221 t), o ėdalo katėms gamyba – 5,2 proc. (1,12 tūkst. t). Suaktyvėjus žvejybos sezonui ir pradėjus gaminti daugiau jauko žuvims, kitų, niekur kitur nepriskirtų mišinių (PGPK 10.91.10.39.00) gamyba padidėjo 39,8 proc. (2,88 tūkst. t). Analizuojamu laikotarpiu premiksų gamyba sumažėjo 28,3 proc. (534,5 t), o lesalų paukščiams gamyba sumažėjo 21,41 proc. (18,38 tūkst. t). Tam įtakos turėjo „Vievio paukščių“ pasitraukimas iš kombinuotųjų pašarų gamintojų gretų. Praėjusiais metais didėjusi mišinių galvijams gamyba šių metų sausio–kovo mėn. sumažėjo 14,2 proc. (6,15 tūkst. t.). Tam įtakos galėjo turėti galvijų skaičiaus mažėjimas Lietuvoje.</w:t>
        <w:br w:type="textWrapping"/>
        <w:t xml:space="preserve">Šių metų sausio–kovo mėn. kombinuotųjų pašarų ir premiksų buvo parduota 120,27 tūkst. t, iš to skaičiaus 75,4 proc. (90,77 tūkst. t) sudarė pardavimai vidaus, 21,31 proc. (25,63 tūkst. t) ES rinkoje ir 3,2 proc. (3,87 tūkst. t) trečiųjų šalių rinkose. 2019 m. sausio–kovo mėn., palyginti su 2018 m. tuo pačiu laikotarpiu, kombinuotųjų pašarų ir premiksų pardavimai vidaus rinkoje sumažėjo 25,5 proc. (26,00 tūkst. t), eksportas į ES šalis – 10,9 proc. (2,92 tūkst. t), o eksportas į trečiąsias šalis padidėjo 3,8 proc. (140 t). Šių metų sausio–kovo mėn. visų kombinuotųjų pašarų ir premiksų pardavimai, lyginant su praėjusių metų tuo pačiu laikotarpiu, sumažėjo 8,6 proc. (11,3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Pagal ŽUIKVC (ŽŪMPRIS) duomenis parengė</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Nijolė Maršalkienė, tel. (8-37) 39 70 75</w:t>
      </w:r>
    </w:p>
    <w:p w:rsidR="00000000" w:rsidDel="00000000" w:rsidP="00000000" w:rsidRDefault="00000000" w:rsidRPr="00000000" w14:paraId="00000004">
      <w:pPr>
        <w:shd w:fill="ffffff" w:val="clear"/>
        <w:spacing w:after="460" w:line="325.71428571428567" w:lineRule="auto"/>
        <w:rPr>
          <w:rFonts w:ascii="Courier New" w:cs="Courier New" w:eastAsia="Courier New" w:hAnsi="Courier New"/>
          <w:color w:val="666666"/>
          <w:sz w:val="21"/>
          <w:szCs w:val="21"/>
          <w:highlight w:val="white"/>
        </w:rPr>
      </w:pPr>
      <w:r w:rsidDel="00000000" w:rsidR="00000000" w:rsidRPr="00000000">
        <w:rPr>
          <w:rFonts w:ascii="Courier New" w:cs="Courier New" w:eastAsia="Courier New" w:hAnsi="Courier New"/>
          <w:color w:val="666666"/>
          <w:sz w:val="21"/>
          <w:szCs w:val="21"/>
          <w:highlight w:val="white"/>
          <w:rtl w:val="0"/>
        </w:rPr>
        <w:t xml:space="preserve">                      </w:t>
      </w:r>
    </w:p>
    <w:p w:rsidR="00000000" w:rsidDel="00000000" w:rsidP="00000000" w:rsidRDefault="00000000" w:rsidRPr="00000000" w14:paraId="00000005">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2019-04-30</w:t>
        </w:r>
      </w:hyperlink>
      <w:r w:rsidDel="00000000" w:rsidR="00000000" w:rsidRPr="00000000">
        <w:rPr>
          <w:rtl w:val="0"/>
        </w:rPr>
      </w:r>
    </w:p>
    <w:p w:rsidR="00000000" w:rsidDel="00000000" w:rsidP="00000000" w:rsidRDefault="00000000" w:rsidRPr="00000000" w14:paraId="00000006">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Pašarų sektoriaus vidaus rinkos apžvalgos</w:t>
        </w:r>
      </w:hyperlink>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04/30/2019-m-sausio-kovo-men-lietuvoje-buvo-pagaminta-19716-tukst-t-kombinuotuju-pasaru/" TargetMode="External"/><Relationship Id="rId7" Type="http://schemas.openxmlformats.org/officeDocument/2006/relationships/hyperlink" Target="https://www.vic.lt/zumpris/category/pasaru-sektorius/pasar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