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duomenimis, 2019 m. rugpjūčio mėn. žemės ūkio subjektai Lietuvoje iš viso įregistravo tik 340 traktorių, 35 javų kombainus, 6 srutvežius, 1 savaeigį bulvių kombainą, 1 savaeigį purkštuvą ir 1 savaeigį smulkintuvą. Analizuojamu laikotarpiu 99,7 proc. įregistruotų traktorių sudarė ratiniai traktoriai.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rugpjūčio mėn. žemdirbiai įregistravo penkiasdešimt devynis 2018 – 2019 m. pagamintus traktorius (tai sudaro 17,4 proc. visų įregistruotų traktorių). Didžiosios dalies (86,8 proc.) įregistruotų ratinių traktorių galia buvo mažesnė kaip 100 AG. Nuo 100 iki 200 AG galios ratiniai traktoriai sudarė 10,3 proc. 2019 m. rugpjūčio mėn. didesnės kaip 200 AG galios traktorių buvo įregistruota 2,7 proc. visų Lietuvos žemės ūkio subjektų įregistruotų traktorių.</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rugpjūčio mėn. tik 31 (arba 9,1 proc.) registruotų ratinių traktorių buvo rytietiški: (9 Belarus, 4 ChTZ, 3 LTZ, 8 MTZ ir 7 VTZ–VMTZ ratiniai traktoriai). 2018 m. rugpjūčio mėn. žemės ūkio subjektai įregistravo 49 </w:t>
      </w:r>
      <w:r w:rsidDel="00000000" w:rsidR="00000000" w:rsidRPr="00000000">
        <w:rPr>
          <w:i w:val="1"/>
          <w:color w:val="666666"/>
          <w:sz w:val="24"/>
          <w:szCs w:val="24"/>
          <w:highlight w:val="white"/>
          <w:rtl w:val="0"/>
        </w:rPr>
        <w:t xml:space="preserve">Yanmar </w:t>
      </w:r>
      <w:r w:rsidDel="00000000" w:rsidR="00000000" w:rsidRPr="00000000">
        <w:rPr>
          <w:color w:val="666666"/>
          <w:sz w:val="24"/>
          <w:szCs w:val="24"/>
          <w:highlight w:val="white"/>
          <w:rtl w:val="0"/>
        </w:rPr>
        <w:t xml:space="preserve">ratinius traktorius, iš kurių pagamintų 2018 ar 2019 m. nebuvo nei vieno. Tai sudaro 15,9 proc. vakarietiškų arba 14,4 proc. visų analizuojamu laikotarpiu įregistruotų traktorių. Kiti žemės ūkio subjektų įregistruoti traktoriai išsidėsto taip: </w:t>
      </w:r>
      <w:r w:rsidDel="00000000" w:rsidR="00000000" w:rsidRPr="00000000">
        <w:rPr>
          <w:i w:val="1"/>
          <w:color w:val="666666"/>
          <w:sz w:val="24"/>
          <w:szCs w:val="24"/>
          <w:highlight w:val="white"/>
          <w:rtl w:val="0"/>
        </w:rPr>
        <w:t xml:space="preserve">Kubota</w:t>
      </w:r>
      <w:r w:rsidDel="00000000" w:rsidR="00000000" w:rsidRPr="00000000">
        <w:rPr>
          <w:color w:val="666666"/>
          <w:sz w:val="24"/>
          <w:szCs w:val="24"/>
          <w:highlight w:val="white"/>
          <w:rtl w:val="0"/>
        </w:rPr>
        <w:t xml:space="preserve"> (44 vnt., arba atitinkamai 14,2 proc. ir 12,9 proc.), </w:t>
      </w:r>
      <w:r w:rsidDel="00000000" w:rsidR="00000000" w:rsidRPr="00000000">
        <w:rPr>
          <w:i w:val="1"/>
          <w:color w:val="666666"/>
          <w:sz w:val="24"/>
          <w:szCs w:val="24"/>
          <w:highlight w:val="white"/>
          <w:rtl w:val="0"/>
        </w:rPr>
        <w:t xml:space="preserve"> </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Iseki </w:t>
      </w:r>
      <w:r w:rsidDel="00000000" w:rsidR="00000000" w:rsidRPr="00000000">
        <w:rPr>
          <w:color w:val="666666"/>
          <w:sz w:val="24"/>
          <w:szCs w:val="24"/>
          <w:highlight w:val="white"/>
          <w:rtl w:val="0"/>
        </w:rPr>
        <w:t xml:space="preserve">(30 vnt., arba atitinkamai 9,7 proc. ir 8,8 proc.), </w:t>
      </w:r>
      <w:r w:rsidDel="00000000" w:rsidR="00000000" w:rsidRPr="00000000">
        <w:rPr>
          <w:i w:val="1"/>
          <w:color w:val="666666"/>
          <w:sz w:val="24"/>
          <w:szCs w:val="24"/>
          <w:highlight w:val="white"/>
          <w:rtl w:val="0"/>
        </w:rPr>
        <w:t xml:space="preserve">John Deere </w:t>
      </w:r>
      <w:r w:rsidDel="00000000" w:rsidR="00000000" w:rsidRPr="00000000">
        <w:rPr>
          <w:color w:val="666666"/>
          <w:sz w:val="24"/>
          <w:szCs w:val="24"/>
          <w:highlight w:val="white"/>
          <w:rtl w:val="0"/>
        </w:rPr>
        <w:t xml:space="preserve">(30 vnt., iš kurių 6 pagaminti 2018 – 2019 m., arba atitinkamai 9,7 proc. ir 8,8 proc.), </w:t>
      </w:r>
      <w:r w:rsidDel="00000000" w:rsidR="00000000" w:rsidRPr="00000000">
        <w:rPr>
          <w:i w:val="1"/>
          <w:color w:val="666666"/>
          <w:sz w:val="24"/>
          <w:szCs w:val="24"/>
          <w:highlight w:val="white"/>
          <w:rtl w:val="0"/>
        </w:rPr>
        <w:t xml:space="preserve">Mitsubishi</w:t>
      </w:r>
      <w:r w:rsidDel="00000000" w:rsidR="00000000" w:rsidRPr="00000000">
        <w:rPr>
          <w:color w:val="666666"/>
          <w:sz w:val="24"/>
          <w:szCs w:val="24"/>
          <w:highlight w:val="white"/>
          <w:rtl w:val="0"/>
        </w:rPr>
        <w:t xml:space="preserve"> (29 vnt., arba atitinkamai 9,4 proc. ir 8,5 proc.), </w:t>
      </w:r>
      <w:r w:rsidDel="00000000" w:rsidR="00000000" w:rsidRPr="00000000">
        <w:rPr>
          <w:i w:val="1"/>
          <w:color w:val="666666"/>
          <w:sz w:val="24"/>
          <w:szCs w:val="24"/>
          <w:highlight w:val="white"/>
          <w:rtl w:val="0"/>
        </w:rPr>
        <w:t xml:space="preserve">Hinomoto </w:t>
      </w:r>
      <w:r w:rsidDel="00000000" w:rsidR="00000000" w:rsidRPr="00000000">
        <w:rPr>
          <w:color w:val="666666"/>
          <w:sz w:val="24"/>
          <w:szCs w:val="24"/>
          <w:highlight w:val="white"/>
          <w:rtl w:val="0"/>
        </w:rPr>
        <w:t xml:space="preserve">(24 vnt., arba atitinkamai 7,8 proc. ir 7,1 proc.), </w:t>
      </w:r>
      <w:r w:rsidDel="00000000" w:rsidR="00000000" w:rsidRPr="00000000">
        <w:rPr>
          <w:i w:val="1"/>
          <w:color w:val="666666"/>
          <w:sz w:val="24"/>
          <w:szCs w:val="24"/>
          <w:highlight w:val="white"/>
          <w:rtl w:val="0"/>
        </w:rPr>
        <w:t xml:space="preserve">Case IH</w:t>
      </w:r>
      <w:r w:rsidDel="00000000" w:rsidR="00000000" w:rsidRPr="00000000">
        <w:rPr>
          <w:color w:val="666666"/>
          <w:sz w:val="24"/>
          <w:szCs w:val="24"/>
          <w:highlight w:val="white"/>
          <w:rtl w:val="0"/>
        </w:rPr>
        <w:t xml:space="preserve"> (17 vnt., iš kurių 4 pagaminti 2018 – 2019 m., arba atitinkamai 5,5 proc. ir 5,0 proc.), </w:t>
      </w:r>
      <w:r w:rsidDel="00000000" w:rsidR="00000000" w:rsidRPr="00000000">
        <w:rPr>
          <w:i w:val="1"/>
          <w:color w:val="666666"/>
          <w:sz w:val="24"/>
          <w:szCs w:val="24"/>
          <w:highlight w:val="white"/>
          <w:rtl w:val="0"/>
        </w:rPr>
        <w:t xml:space="preserve">CFMOTO </w:t>
      </w:r>
      <w:r w:rsidDel="00000000" w:rsidR="00000000" w:rsidRPr="00000000">
        <w:rPr>
          <w:color w:val="666666"/>
          <w:sz w:val="24"/>
          <w:szCs w:val="24"/>
          <w:highlight w:val="white"/>
          <w:rtl w:val="0"/>
        </w:rPr>
        <w:t xml:space="preserve">(16 vnt., visi pagaminti 2018 – 2019 m., arba atitinkamai 4,0 proc. ir 3,8 proc.) ir </w:t>
      </w:r>
      <w:r w:rsidDel="00000000" w:rsidR="00000000" w:rsidRPr="00000000">
        <w:rPr>
          <w:i w:val="1"/>
          <w:color w:val="666666"/>
          <w:sz w:val="24"/>
          <w:szCs w:val="24"/>
          <w:highlight w:val="white"/>
          <w:rtl w:val="0"/>
        </w:rPr>
        <w:t xml:space="preserve">Massey Ferguson</w:t>
      </w:r>
      <w:r w:rsidDel="00000000" w:rsidR="00000000" w:rsidRPr="00000000">
        <w:rPr>
          <w:color w:val="666666"/>
          <w:sz w:val="24"/>
          <w:szCs w:val="24"/>
          <w:highlight w:val="white"/>
          <w:rtl w:val="0"/>
        </w:rPr>
        <w:t xml:space="preserve"> (9 vnt., iš kurių 5 pagaminti 2018 – 2019 m., arba atitinkamai 2,9 proc. ir 2,7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rugpjūčio mėn. įregistruotų traktorių skaičius pagal gamintoją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943600" cy="59690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969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2019 m. rugpjūčio mėn. ūkininkai ir žemės ūkio bendrovės įregistravo tik 35 javų kombainus. Iš jų 6 (arba tik 17,1 proc.) buvo pagaminti 2018 – 2019 m. Dauguma (94,3 proc.) analizuojamu laikotarpiu įregistruotų javų kombainų buvo vakarietiški. 2019 m. rugpjūčio mėnesį įregistruota 13, iš kurių 5 pagaminti 2018 – 2019 m., arba 37,1 proc. visų įregistruotų javų kombainų kompanijos</w:t>
      </w:r>
      <w:r w:rsidDel="00000000" w:rsidR="00000000" w:rsidRPr="00000000">
        <w:rPr>
          <w:i w:val="1"/>
          <w:color w:val="666666"/>
          <w:sz w:val="24"/>
          <w:szCs w:val="24"/>
          <w:highlight w:val="white"/>
          <w:rtl w:val="0"/>
        </w:rPr>
        <w:t xml:space="preserve"> New Holland</w:t>
      </w:r>
      <w:r w:rsidDel="00000000" w:rsidR="00000000" w:rsidRPr="00000000">
        <w:rPr>
          <w:color w:val="666666"/>
          <w:sz w:val="24"/>
          <w:szCs w:val="24"/>
          <w:highlight w:val="white"/>
          <w:rtl w:val="0"/>
        </w:rPr>
        <w:t xml:space="preserve">, 5, iš kurių 1 pagamintas 2019 m., (arba 14,3 proc.) – </w:t>
      </w:r>
      <w:r w:rsidDel="00000000" w:rsidR="00000000" w:rsidRPr="00000000">
        <w:rPr>
          <w:i w:val="1"/>
          <w:color w:val="666666"/>
          <w:sz w:val="24"/>
          <w:szCs w:val="24"/>
          <w:highlight w:val="white"/>
          <w:rtl w:val="0"/>
        </w:rPr>
        <w:t xml:space="preserve">Sampo Rosenlew</w:t>
      </w:r>
      <w:r w:rsidDel="00000000" w:rsidR="00000000" w:rsidRPr="00000000">
        <w:rPr>
          <w:color w:val="666666"/>
          <w:sz w:val="24"/>
          <w:szCs w:val="24"/>
          <w:highlight w:val="white"/>
          <w:rtl w:val="0"/>
        </w:rPr>
        <w:t xml:space="preserve">, po 3 (arba 8,6 proc.) – </w:t>
      </w:r>
      <w:r w:rsidDel="00000000" w:rsidR="00000000" w:rsidRPr="00000000">
        <w:rPr>
          <w:i w:val="1"/>
          <w:color w:val="666666"/>
          <w:sz w:val="24"/>
          <w:szCs w:val="24"/>
          <w:highlight w:val="white"/>
          <w:rtl w:val="0"/>
        </w:rPr>
        <w:t xml:space="preserve"> Claas</w:t>
      </w:r>
      <w:r w:rsidDel="00000000" w:rsidR="00000000" w:rsidRPr="00000000">
        <w:rPr>
          <w:color w:val="666666"/>
          <w:sz w:val="24"/>
          <w:szCs w:val="24"/>
          <w:highlight w:val="white"/>
          <w:rtl w:val="0"/>
        </w:rPr>
        <w:t xml:space="preserve">,</w:t>
      </w:r>
      <w:r w:rsidDel="00000000" w:rsidR="00000000" w:rsidRPr="00000000">
        <w:rPr>
          <w:i w:val="1"/>
          <w:color w:val="666666"/>
          <w:sz w:val="24"/>
          <w:szCs w:val="24"/>
          <w:highlight w:val="white"/>
          <w:rtl w:val="0"/>
        </w:rPr>
        <w:t xml:space="preserve"> John </w:t>
      </w:r>
      <w:r w:rsidDel="00000000" w:rsidR="00000000" w:rsidRPr="00000000">
        <w:rPr>
          <w:color w:val="666666"/>
          <w:sz w:val="24"/>
          <w:szCs w:val="24"/>
          <w:highlight w:val="white"/>
          <w:rtl w:val="0"/>
        </w:rPr>
        <w:t xml:space="preserve">Deere ir</w:t>
      </w:r>
      <w:r w:rsidDel="00000000" w:rsidR="00000000" w:rsidRPr="00000000">
        <w:rPr>
          <w:i w:val="1"/>
          <w:color w:val="666666"/>
          <w:sz w:val="24"/>
          <w:szCs w:val="24"/>
          <w:highlight w:val="white"/>
          <w:rtl w:val="0"/>
        </w:rPr>
        <w:t xml:space="preserve"> Massey Ferguson</w:t>
      </w:r>
      <w:r w:rsidDel="00000000" w:rsidR="00000000" w:rsidRPr="00000000">
        <w:rPr>
          <w:color w:val="666666"/>
          <w:sz w:val="24"/>
          <w:szCs w:val="24"/>
          <w:highlight w:val="white"/>
          <w:rtl w:val="0"/>
        </w:rPr>
        <w:t xml:space="preserve">, po 2, (arba 5,7 proc.) –</w:t>
      </w:r>
      <w:r w:rsidDel="00000000" w:rsidR="00000000" w:rsidRPr="00000000">
        <w:rPr>
          <w:i w:val="1"/>
          <w:color w:val="666666"/>
          <w:sz w:val="24"/>
          <w:szCs w:val="24"/>
          <w:highlight w:val="white"/>
          <w:rtl w:val="0"/>
        </w:rPr>
        <w:t xml:space="preserve"> Dronningborg</w:t>
      </w:r>
      <w:r w:rsidDel="00000000" w:rsidR="00000000" w:rsidRPr="00000000">
        <w:rPr>
          <w:color w:val="666666"/>
          <w:sz w:val="24"/>
          <w:szCs w:val="24"/>
          <w:highlight w:val="white"/>
          <w:rtl w:val="0"/>
        </w:rPr>
        <w:t xml:space="preserve"> ir </w:t>
      </w:r>
      <w:r w:rsidDel="00000000" w:rsidR="00000000" w:rsidRPr="00000000">
        <w:rPr>
          <w:i w:val="1"/>
          <w:color w:val="666666"/>
          <w:sz w:val="24"/>
          <w:szCs w:val="24"/>
          <w:highlight w:val="white"/>
          <w:rtl w:val="0"/>
        </w:rPr>
        <w:t xml:space="preserve">Rostselmash</w:t>
      </w:r>
      <w:r w:rsidDel="00000000" w:rsidR="00000000" w:rsidRPr="00000000">
        <w:rPr>
          <w:color w:val="666666"/>
          <w:sz w:val="24"/>
          <w:szCs w:val="24"/>
          <w:highlight w:val="white"/>
          <w:rtl w:val="0"/>
        </w:rPr>
        <w:t xml:space="preserve">, po 1(arba 2,9 proc.) – </w:t>
      </w:r>
      <w:r w:rsidDel="00000000" w:rsidR="00000000" w:rsidRPr="00000000">
        <w:rPr>
          <w:i w:val="1"/>
          <w:color w:val="666666"/>
          <w:sz w:val="24"/>
          <w:szCs w:val="24"/>
          <w:highlight w:val="white"/>
          <w:rtl w:val="0"/>
        </w:rPr>
        <w:t xml:space="preserve">Bizon</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Deutz-Fahr</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 Laverda</w:t>
      </w:r>
      <w:r w:rsidDel="00000000" w:rsidR="00000000" w:rsidRPr="00000000">
        <w:rPr>
          <w:color w:val="666666"/>
          <w:sz w:val="24"/>
          <w:szCs w:val="24"/>
          <w:highlight w:val="white"/>
          <w:rtl w:val="0"/>
        </w:rPr>
        <w:t xml:space="preserve"> ir </w:t>
      </w:r>
      <w:r w:rsidDel="00000000" w:rsidR="00000000" w:rsidRPr="00000000">
        <w:rPr>
          <w:i w:val="1"/>
          <w:color w:val="666666"/>
          <w:sz w:val="24"/>
          <w:szCs w:val="24"/>
          <w:highlight w:val="white"/>
          <w:rtl w:val="0"/>
        </w:rPr>
        <w:t xml:space="preserve">Volvo </w:t>
      </w:r>
      <w:r w:rsidDel="00000000" w:rsidR="00000000" w:rsidRPr="00000000">
        <w:rPr>
          <w:color w:val="666666"/>
          <w:sz w:val="24"/>
          <w:szCs w:val="24"/>
          <w:highlight w:val="white"/>
          <w:rtl w:val="0"/>
        </w:rPr>
        <w:t xml:space="preserve">javų kombainą.</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rugpjūčio mėn. įregistruotų javų kombainų skaičius pagal gamintoją</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816600" cy="31369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8166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rugpjūčio mėn. Lietuvos žemdirbiai įregistravo 6 srutvežius (</w:t>
      </w:r>
      <w:r w:rsidDel="00000000" w:rsidR="00000000" w:rsidRPr="00000000">
        <w:rPr>
          <w:i w:val="1"/>
          <w:color w:val="666666"/>
          <w:sz w:val="24"/>
          <w:szCs w:val="24"/>
          <w:highlight w:val="white"/>
          <w:rtl w:val="0"/>
        </w:rPr>
        <w:t xml:space="preserve">Fliegl </w:t>
      </w:r>
      <w:r w:rsidDel="00000000" w:rsidR="00000000" w:rsidRPr="00000000">
        <w:rPr>
          <w:color w:val="666666"/>
          <w:sz w:val="24"/>
          <w:szCs w:val="24"/>
          <w:highlight w:val="white"/>
          <w:rtl w:val="0"/>
        </w:rPr>
        <w:t xml:space="preserve">firmos </w:t>
      </w:r>
      <w:r w:rsidDel="00000000" w:rsidR="00000000" w:rsidRPr="00000000">
        <w:rPr>
          <w:i w:val="1"/>
          <w:color w:val="666666"/>
          <w:sz w:val="24"/>
          <w:szCs w:val="24"/>
          <w:highlight w:val="white"/>
          <w:rtl w:val="0"/>
        </w:rPr>
        <w:t xml:space="preserve">– </w:t>
      </w:r>
      <w:r w:rsidDel="00000000" w:rsidR="00000000" w:rsidRPr="00000000">
        <w:rPr>
          <w:color w:val="666666"/>
          <w:sz w:val="24"/>
          <w:szCs w:val="24"/>
          <w:highlight w:val="white"/>
          <w:rtl w:val="0"/>
        </w:rPr>
        <w:t xml:space="preserve">1, Pichon – 1, RŽT-10 – 1, RŽT-5 – 1, </w:t>
      </w:r>
      <w:r w:rsidDel="00000000" w:rsidR="00000000" w:rsidRPr="00000000">
        <w:rPr>
          <w:i w:val="1"/>
          <w:color w:val="666666"/>
          <w:sz w:val="24"/>
          <w:szCs w:val="24"/>
          <w:highlight w:val="white"/>
          <w:rtl w:val="0"/>
        </w:rPr>
        <w:t xml:space="preserve">Samson, </w:t>
      </w:r>
      <w:r w:rsidDel="00000000" w:rsidR="00000000" w:rsidRPr="00000000">
        <w:rPr>
          <w:color w:val="666666"/>
          <w:sz w:val="24"/>
          <w:szCs w:val="24"/>
          <w:highlight w:val="white"/>
          <w:rtl w:val="0"/>
        </w:rPr>
        <w:t xml:space="preserve">– 1, </w:t>
      </w:r>
      <w:r w:rsidDel="00000000" w:rsidR="00000000" w:rsidRPr="00000000">
        <w:rPr>
          <w:i w:val="1"/>
          <w:color w:val="666666"/>
          <w:sz w:val="24"/>
          <w:szCs w:val="24"/>
          <w:highlight w:val="white"/>
          <w:rtl w:val="0"/>
        </w:rPr>
        <w:t xml:space="preserve">Western Fabrications</w:t>
      </w:r>
      <w:r w:rsidDel="00000000" w:rsidR="00000000" w:rsidRPr="00000000">
        <w:rPr>
          <w:color w:val="666666"/>
          <w:sz w:val="24"/>
          <w:szCs w:val="24"/>
          <w:highlight w:val="white"/>
          <w:rtl w:val="0"/>
        </w:rPr>
        <w:t xml:space="preserve"> – 1 (pagamintas 2019 m.)), 1 savaeigį bulvių kombainą (</w:t>
      </w:r>
      <w:r w:rsidDel="00000000" w:rsidR="00000000" w:rsidRPr="00000000">
        <w:rPr>
          <w:i w:val="1"/>
          <w:color w:val="666666"/>
          <w:sz w:val="24"/>
          <w:szCs w:val="24"/>
          <w:highlight w:val="white"/>
          <w:rtl w:val="0"/>
        </w:rPr>
        <w:t xml:space="preserve">DeWulf </w:t>
      </w:r>
      <w:r w:rsidDel="00000000" w:rsidR="00000000" w:rsidRPr="00000000">
        <w:rPr>
          <w:color w:val="666666"/>
          <w:sz w:val="24"/>
          <w:szCs w:val="24"/>
          <w:highlight w:val="white"/>
          <w:rtl w:val="0"/>
        </w:rPr>
        <w:t xml:space="preserve">firmos (pagamintas 2019 m.)),  1 savaeigį purkštuvą (</w:t>
      </w:r>
      <w:r w:rsidDel="00000000" w:rsidR="00000000" w:rsidRPr="00000000">
        <w:rPr>
          <w:i w:val="1"/>
          <w:color w:val="666666"/>
          <w:sz w:val="24"/>
          <w:szCs w:val="24"/>
          <w:highlight w:val="white"/>
          <w:rtl w:val="0"/>
        </w:rPr>
        <w:t xml:space="preserve">Amazone </w:t>
      </w:r>
      <w:r w:rsidDel="00000000" w:rsidR="00000000" w:rsidRPr="00000000">
        <w:rPr>
          <w:color w:val="666666"/>
          <w:sz w:val="24"/>
          <w:szCs w:val="24"/>
          <w:highlight w:val="white"/>
          <w:rtl w:val="0"/>
        </w:rPr>
        <w:t xml:space="preserve">firmos (pagamintas 2019 m.)), ir 1 savaeigį smulkintuvą (</w:t>
      </w:r>
      <w:r w:rsidDel="00000000" w:rsidR="00000000" w:rsidRPr="00000000">
        <w:rPr>
          <w:i w:val="1"/>
          <w:color w:val="666666"/>
          <w:sz w:val="24"/>
          <w:szCs w:val="24"/>
          <w:highlight w:val="white"/>
          <w:rtl w:val="0"/>
        </w:rPr>
        <w:t xml:space="preserve">Claas</w:t>
      </w:r>
      <w:r w:rsidDel="00000000" w:rsidR="00000000" w:rsidRPr="00000000">
        <w:rPr>
          <w:color w:val="666666"/>
          <w:sz w:val="24"/>
          <w:szCs w:val="24"/>
          <w:highlight w:val="white"/>
          <w:rtl w:val="0"/>
        </w:rPr>
        <w:t xml:space="preserve"> firmos).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 Parengė T. Kleinotas, tel. (8 5 ) 219 7324, R. Zinkevičius, tel. (8 37) 397 076</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