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2019 m. balandžio mėn. Lietuvoje buvo pagaminta 68,28 tūkst. t kombinuotųjų pašarų, tai 4,7 proc. (3,09 tūkst. t) daugiau lyginant su kovo mėn. ir 3,5 proc. (2,48 tūkst. t) mažiau nei 2018 m. tuo pačiu laikotarpiu.</w:t>
        <w:br w:type="textWrapping"/>
        <w:t xml:space="preserve">Lyginant su praeitų metų balandžio mėn. premiksų gamyba sumažėjo 17,4 proc. (68,9 t), lesalų paukščiams gamyba – 11,66 proc. (3,42 tūkst. t), o pašarų galvijams gamyba – 16,0 proc. (2,05 tūkst. t). Mišinių kiaulėms gamyba analizuojamu laikotarpiu padidėjo 3,9 proc. (641,0 t.), šunų ėdalo gamyba – 60,4 proc. (648,0 t), o kačių ėdalo – 10,8 proc. (780,0 t).</w:t>
        <w:br w:type="textWrapping"/>
        <w:t xml:space="preserve">Tris pirmus šių metų mėnesius didėjusi mišinių kiaulėms gamyba šių metų balandžio mėn. palyginti su kovo mėn., nežymiai sumažėjo – 1,4 proc. (238,1 t.), taip pat mažėjo premiksų ir mišinių galvijams gamyba, atitinkamai 32,02 (154,6 t.) ir 14,83proc. (1,88 tūkst. t). Analizuojamu laikotarpiu paukščių lesalų gamyba didėjo – 19,1 proc. (4,157 tūkst. t), ėdalo katėms gamyba – 9,4 proc. (693,9 t), o ėdalo šunims – 16,8 proc. (248,2 t). Kitų, niekur kitur nepriskirtų mišinių (PGPK 10.91.10.39.00) gamyba padidėjo 6,6 proc. (266,7 t).</w:t>
        <w:br w:type="textWrapping"/>
        <w:t xml:space="preserve">Šių metų balandžio mėn. kombinuotųjų pašarų ir premiksų buvo parduota 44,24 tūkst. t, iš to skaičiaus 76,5 proc. (33,78 tūkst. t) sudarė pardavimai vidaus, 21,5 proc. (9,47 tūkst. t) ES rinkoje ir 2,0 proc. (88,7 t) trečiųjų šalių rinkose. 2019 m. balandžio mėn., palyginti su 2018 m. tuo pačiu laikotarpiu, kombinuotųjų pašarų ir premiksų pardavimai vidaus rinkoje sumažėjo 1,1 proc. (390,1 t), eksportas į trečiąsias šalis – 13,5 proc. (138,1 t), o eksportas į ES šalis padidėjo 0,5 proc. (46,9 t). Lyginant su 2018 m. balandžio mėn., šių metų balandį kombinuotųjų pašarų ir premiksų pardavimai nežymiai sumažėjo – 0,9 proc. (381,1 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right"/>
        <w:rPr>
          <w:color w:val="666666"/>
          <w:sz w:val="24"/>
          <w:szCs w:val="24"/>
          <w:highlight w:val="white"/>
        </w:rPr>
      </w:pPr>
      <w:r w:rsidDel="00000000" w:rsidR="00000000" w:rsidRPr="00000000">
        <w:rPr>
          <w:color w:val="666666"/>
          <w:sz w:val="24"/>
          <w:szCs w:val="24"/>
          <w:highlight w:val="white"/>
          <w:rtl w:val="0"/>
        </w:rPr>
        <w:t xml:space="preserve">Pagal ŽUIKVC (ŽŪMPRIS) duomenis parengė</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right"/>
        <w:rPr>
          <w:color w:val="666666"/>
          <w:sz w:val="24"/>
          <w:szCs w:val="24"/>
          <w:highlight w:val="white"/>
        </w:rPr>
      </w:pPr>
      <w:r w:rsidDel="00000000" w:rsidR="00000000" w:rsidRPr="00000000">
        <w:rPr>
          <w:color w:val="666666"/>
          <w:sz w:val="24"/>
          <w:szCs w:val="24"/>
          <w:highlight w:val="white"/>
          <w:rtl w:val="0"/>
        </w:rPr>
        <w:t xml:space="preserve">Nijolė Maršalkienė, tel. (8-37) 39 70 75</w:t>
      </w:r>
    </w:p>
    <w:p w:rsidR="00000000" w:rsidDel="00000000" w:rsidP="00000000" w:rsidRDefault="00000000" w:rsidRPr="00000000" w14:paraId="00000004">
      <w:pPr>
        <w:shd w:fill="ffffff" w:val="clear"/>
        <w:spacing w:after="460" w:line="325.71428571428567" w:lineRule="auto"/>
        <w:rPr>
          <w:rFonts w:ascii="Courier New" w:cs="Courier New" w:eastAsia="Courier New" w:hAnsi="Courier New"/>
          <w:color w:val="666666"/>
          <w:sz w:val="21"/>
          <w:szCs w:val="21"/>
          <w:highlight w:val="white"/>
        </w:rPr>
      </w:pPr>
      <w:r w:rsidDel="00000000" w:rsidR="00000000" w:rsidRPr="00000000">
        <w:rPr>
          <w:rFonts w:ascii="Courier New" w:cs="Courier New" w:eastAsia="Courier New" w:hAnsi="Courier New"/>
          <w:color w:val="666666"/>
          <w:sz w:val="21"/>
          <w:szCs w:val="21"/>
          <w:highlight w:val="white"/>
          <w:rtl w:val="0"/>
        </w:rPr>
        <w:t xml:space="preserve">                       </w:t>
      </w:r>
    </w:p>
    <w:p w:rsidR="00000000" w:rsidDel="00000000" w:rsidP="00000000" w:rsidRDefault="00000000" w:rsidRPr="00000000" w14:paraId="00000005">
      <w:pPr>
        <w:spacing w:after="300" w:lineRule="auto"/>
        <w:rPr>
          <w:color w:val="666666"/>
          <w:sz w:val="21"/>
          <w:szCs w:val="21"/>
          <w:highlight w:val="white"/>
        </w:rPr>
      </w:pPr>
      <w:hyperlink r:id="rId6">
        <w:r w:rsidDel="00000000" w:rsidR="00000000" w:rsidRPr="00000000">
          <w:rPr>
            <w:color w:val="666666"/>
            <w:sz w:val="21"/>
            <w:szCs w:val="21"/>
            <w:highlight w:val="white"/>
            <w:rtl w:val="0"/>
          </w:rPr>
          <w:t xml:space="preserve">2019-06-03</w:t>
        </w:r>
      </w:hyperlink>
      <w:r w:rsidDel="00000000" w:rsidR="00000000" w:rsidRPr="00000000">
        <w:rPr>
          <w:rtl w:val="0"/>
        </w:rPr>
      </w:r>
    </w:p>
    <w:p w:rsidR="00000000" w:rsidDel="00000000" w:rsidP="00000000" w:rsidRDefault="00000000" w:rsidRPr="00000000" w14:paraId="00000006">
      <w:pPr>
        <w:spacing w:after="300" w:lineRule="auto"/>
        <w:rPr>
          <w:color w:val="666666"/>
          <w:sz w:val="21"/>
          <w:szCs w:val="21"/>
          <w:highlight w:val="white"/>
        </w:rPr>
      </w:pPr>
      <w:hyperlink r:id="rId7">
        <w:r w:rsidDel="00000000" w:rsidR="00000000" w:rsidRPr="00000000">
          <w:rPr>
            <w:color w:val="666666"/>
            <w:sz w:val="21"/>
            <w:szCs w:val="21"/>
            <w:highlight w:val="white"/>
            <w:rtl w:val="0"/>
          </w:rPr>
          <w:t xml:space="preserve">Pašarų sektoriaus vidaus rinkos apžvalgos</w:t>
        </w:r>
      </w:hyperlink>
      <w:r w:rsidDel="00000000" w:rsidR="00000000" w:rsidRPr="00000000">
        <w:rPr>
          <w:rtl w:val="0"/>
        </w:rPr>
      </w:r>
    </w:p>
    <w:p w:rsidR="00000000" w:rsidDel="00000000" w:rsidP="00000000" w:rsidRDefault="00000000" w:rsidRPr="00000000" w14:paraId="00000007">
      <w:pPr>
        <w:spacing w:after="300" w:lineRule="auto"/>
        <w:rPr>
          <w:color w:val="666666"/>
          <w:sz w:val="24"/>
          <w:szCs w:val="24"/>
          <w:highlight w:val="white"/>
        </w:rPr>
      </w:pPr>
      <w:r w:rsidDel="00000000" w:rsidR="00000000" w:rsidRPr="00000000">
        <w:rPr>
          <w:rtl w:val="0"/>
        </w:rPr>
      </w:r>
    </w:p>
    <w:p w:rsidR="00000000" w:rsidDel="00000000" w:rsidP="00000000" w:rsidRDefault="00000000" w:rsidRPr="00000000" w14:paraId="00000008">
      <w:pPr>
        <w:spacing w:after="300" w:lineRule="auto"/>
        <w:rPr>
          <w:color w:val="666666"/>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ic.lt/zumpris/2019/06/03/2019-m-balandzio-men-lietuvoje-buvo-pagaminta-6828-tukst-t-kombinuotuju-pasaru/" TargetMode="External"/><Relationship Id="rId7" Type="http://schemas.openxmlformats.org/officeDocument/2006/relationships/hyperlink" Target="https://www.vic.lt/zumpris/category/pasaru-sektorius/pasaru-sektoriaus-vidaus-rinkos-apzvalg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