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ŽŪIKVC (LŽŪMPRIS) duomenimis, 2019 m. sausio–kovo mėn. Lietuvos įmonėse buvo paskersta 14,00 mln. paukščių ir pagaminta 25,58 tūkst. t paukštienos skerdenų. Paukščių skerdimų skaičius 2019 m. I ketvirtį, palyginti su 2018 m. IV ketvirčiu, sumažėjo 7,5 proc., tačiau buvo 1,6 proc. didesnis nei prieš metus. Iš to skaičiaus broilerių skerdimai analizuojamu laikotarpiu sudarė 13,75 mln. vnt. – 7,2 proc. mažiau nei 2018 m. IV ketvirtį, tačiau 1,0 proc. daugiau nei praėjusių metų tuo pačiu laikotarpiu. Kalakutų skerdimai analizuojamu laikotarpiu sudarė 104,511 tūkst. vnt. – 4,8 proc. mažiau nei 2018 m. IV ketvirtį ir 18,9 proc. mažiau nei 2018 m. I ketvirtį.</w:t>
        <w:br w:type="textWrapping"/>
        <w:t xml:space="preserve">Paukštienos gamyba, vertinant pagal skerdenų svorį, 2019 m. I ketvirtį sudarė 25,58 tūkst. t – 10,7 proc. mažiau nei 2018 m. IV ketvirtį ir 1,3 proc. mažiau nei prieš metus. Iš to skaičiaus broilerių skerdenų gamyba 2019 m. I ketvirtį, palyginti su 2018 m. IV ketvirčiu, sumažėjo 10,0 proc. (iki 24,307 tūkst. t) ir buvo nežymiai mažesnė nei prieš metus. Kalakutienos skerdenų gamyba 2019 m. I ketvirtį sudarė 966,584 t – 28,4 proc. mažiau nei 2018 m. IV ketvirtį ir 34,5 proc. mažiau nei prieš metus.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LŽŪMPRIS</w:t>
        <w:br w:type="textWrapping"/>
        <w:t xml:space="preserve">Parengė: A. Kairytė, tel. (8 37) 39 78 02</w:t>
      </w:r>
    </w:p>
    <w:p w:rsidR="00000000" w:rsidDel="00000000" w:rsidP="00000000" w:rsidRDefault="00000000" w:rsidRPr="00000000" w14:paraId="00000003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6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2019-05-31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ic.lt/zumpris/2019/05/31/2019-m-i-ketvirti-lietuvos-imonese-sumazejo-kalakutienos-gamyba/" TargetMode="External"/><Relationship Id="rId7" Type="http://schemas.openxmlformats.org/officeDocument/2006/relationships/hyperlink" Target="https://www.vic.lt/zumpris/category/paukstienos-sektorius/paukstienos-sektoriausvidaus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