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vištų kiaušinių su lukštais pardavimas kiaušinių gavybos įmonėse sudarė 624,01mln. vnt. ir, palyginti su 2017 m., padidėjo 18,12 proc. Iš to skaičiaus surūšiuotų ir supakuotų A klasės kiaušinių pardavimas sumažėjo 17,3 proc., iki 180,96 mln. vnt., o B klasės – 25,4 proc. (iki 15,17 mln. vnt.).</w:t>
        <w:br w:type="textWrapping"/>
        <w:t xml:space="preserve">Kiaušinių eksportas 2018 m. sudarė 115,78 mln. vnt. ir, palyginti su 2017 m., padidėjo 39,9 proc. Iš to skaičiaus A klasės kiaušinių eksportas padidėjo 51,1 proc. (iki 94,535 mln. vnt.), o B klasės – 6,5 karto (2,68 mln. vnt.).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ŽŪIKVC(LŽŪMPRIS)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2019-02-25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19/02/25/2018-m-lietuvos-kiausiniu-gavybos-imonese-padidejo-kiausiniu-pardavimas-ir-eksportas/" TargetMode="External"/><Relationship Id="rId7" Type="http://schemas.openxmlformats.org/officeDocument/2006/relationships/hyperlink" Target="https://www.vic.lt/zumpris/category/paukstienos-sektorius/paukstienos-sektoriaus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