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40 savaitę benzinas A-95 Brazilijoje pabrango 11,6 proc., Estijoje–8,5 proc., Meksikoje–3,3 proc., o Gruzijoje atpigo 4,7 proc. Dyzelinas analizuojamu laikotarpiu Liuksemburge pabrango 18,6 proc., Estijoje–12,0 proc., Brazilijoje–10,7 proc., o Argentinoje atpigo 5,0 proc.</w:t>
        <w:br w:type="textWrapping"/>
        <w:t xml:space="preserve">Per analizuojamą laikotarpį (38–40 savaites) benzinas A-95 Brazilijoje pabrango 9,3 proc., Estijoje–8,5 proc., Turkijoje–5,4 proc., o Gruzijoje atpigo 4,7 proc. Dyzelinas analizuojamu laikotarpiu Liuksemburge pabrango 18,6 proc., Estijoje–12,0 proc., Brazilijoje–9,2 proc., o Urugvajuje atpigo 3,7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38–40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