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37 savaitę benzinas A-95 Turkijoje pabrango 7,8 proc., Suomijoje–5,2 proc., Estijoje–3,8 proc., o Graikijoje atpigo 13,5 proc. Dyzelinas analizuojamu laikotarpiu Turkijoje pabrango 7,3 proc., Suomijoje–5,1 proc., Estijoje–3,9 proc., o Graikijoje atpigo 12,7 proc.</w:t>
        <w:br w:type="textWrapping"/>
        <w:t xml:space="preserve">Per analizuojamą laikotarpį (35–37 savaites) benzinas A-95 Turkijoje pabrango 7,8 proc., Suomijoje–4,5 proc., Estijoje–3,8 proc., o Graikijoje atpigo 14,4 proc. Dyzelinas analizuojamu laikotarpiu Kazachstane pabrango 15,4 proc., Turkijoje–7,3 proc., Ukrainoje–4,8 proc., o Graikijoje atpigo 13,8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35–37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