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Eurostato duomenimis, 2017 m. ES šalių kompanijos importavo 15,5 mln. t vaisių ir daržovių, t. y. 5 proc. daugiau nei 2016 m. Vaisių importas sudarė 13,3 mln. t, o daržovių – 2,2 mln. t.</w:t>
        <w:br w:type="textWrapping"/>
        <w:t xml:space="preserve">Didžiausią importuojamų vaisių dalį sudarė bananai, apelsinai ir ananasai. 2017 m., palyginti su 2016 m., bananų importas padidėjo 7 proc. (iki 5,9 mln. t), apelsinų ir ananasų – po 11 proc., atitinkamai (iki 1,05 mln. t) ir (iki 941,8 tūkst. t). Taip pat padidėjo obuolių (iki 448 tūkst. t) ir avokadų (iki 486 tūkst. t) importas, atitinkamai 1 proc. ir 9 proc.</w:t>
        <w:br w:type="textWrapping"/>
        <w:t xml:space="preserve">Didžiausią importuojamų daržovių dalį (apie ketvirtadalį) sudarė pomidorai. Jų importas padidėjo 8 proc. ir siekė 568 tūkst. t. Net 71 proc. pomidorų buvo importuota iš Maroko. Bulvių importas padidėjo 14 proc. (iki 430,5 tūkst. t), svogūnų – 8 proc. (iki 243 tūkst.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Fruit-Inform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