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14 savaitę benzinas A-95 Rusijoje pabrango 9,3 proc., Belgijoje–5,0 proc., Makedonijoje–3,8 proc., o Albanijoje atpigo 2,9 proc. Dyzelinas analizuojamu laikotarpiu Austrijoje pabrango 3,6 proc., Makedonijoje–3,2 proc., Airijoje–2,4 proc., o Albanijoje atpigo 3,6 proc.</w:t>
        <w:br w:type="textWrapping"/>
        <w:t xml:space="preserve">Per analizuojamą laikotarpį (12–14 savaites) benzinas A-95 Šveicarijoje pabrango 7,4 proc., Meksikoje–7,2 proc., Belgijoje–5,8 proc., o Čilėje atpigo 2,8 proc. Dyzelinas analizuojamu laikotarpiu Armėnijoje ir Gruzijoje pabrango 5,4 proc., Meksikoje–5,0 proc., Nyderlanduose–3,8 proc., o Čilėje atpigo 7,9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12–14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